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附件1   招标需求一览表</w:t>
      </w:r>
    </w:p>
    <w:tbl>
      <w:tblPr>
        <w:tblStyle w:val="7"/>
        <w:tblW w:w="12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04"/>
        <w:gridCol w:w="3068"/>
        <w:gridCol w:w="612"/>
        <w:gridCol w:w="688"/>
        <w:gridCol w:w="1012"/>
        <w:gridCol w:w="738"/>
        <w:gridCol w:w="852"/>
        <w:gridCol w:w="1376"/>
        <w:gridCol w:w="115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智能分析主机、巡视主机等采购项目</w:t>
            </w:r>
            <w:bookmarkEnd w:id="2"/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智能分析主机（含算法）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CPU不低于2GHz主频，不低于8核；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内存不低于64G；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 机械硬盘；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配置双热插拔冗余电源；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智能分析模组AI算力不低于64TOPS INT8；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2*1GE PCIE标准网卡。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满足电力标准机柜（2260*800*600）安装。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算法：1、实现对变电站设备状态的分析识别，包括表计、开关、刀闸、屏柜指示灯、屏柜硬压板等状态识别；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2、实现对变电站设备外观异常的智能识别，包括表计绝缘子部件破损、呼吸器缺陷、设备异物附着、金属锈蚀等；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3、实现对变电站作业安全异常行为识别，支持在巡视任务中对未佩戴安全帽检测。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厂商要求：供应商应具有独立订立合同的法人资格。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业绩要求：2019年1月1日至招标采购公告发布日止，完成过主机或交换机累计销售业绩不少于2份，合同额累计不少于200万。注：业绩必须提供对应的合同复印件。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巡视主机（含巡视服务软件）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CPU不低于2GHz主频，不低于8核；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内存不低于32G；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2T 机械硬盘；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2*1GE PCIE标准网卡。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配置双热插拔冗余电源；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满足电力标准机柜（2260*800*600）安装。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RANGE!D2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软件：带有变电站智能巡检子站系统的软硬一体机，实现变电站前端感知数据采集、处理、分析及上报，包含智能巡视、主辅设备告警联动、告警管理、综合监视等应用功能。</w:t>
            </w:r>
            <w:bookmarkEnd w:id="1"/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3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千兆交换机，≥48口，三层交换机，冗余电源，48个10/100/1000M电口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pt-BR" w:eastAsia="zh-CN" w:bidi="ar"/>
              </w:rPr>
              <w:t>4个SFP+万兆光端口；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pt-BR" w:eastAsia="zh-CN" w:bidi="ar"/>
              </w:rPr>
              <w:t>1个Slot插槽；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冗余电源、风扇；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整机转发交换容量：≥598Gbps；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转发性能：≥216Mpps。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3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机架式、8电口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3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尺寸：2260*800*600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24个月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3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line="240" w:lineRule="auto"/>
        <w:ind w:leftChars="-170" w:firstLine="440" w:firstLineChars="200"/>
        <w:outlineLvl w:val="0"/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bookmarkEnd w:id="0"/>
    <w:p>
      <w:pPr>
        <w:spacing w:line="240" w:lineRule="auto"/>
        <w:rPr>
          <w:rFonts w:hint="eastAsia" w:ascii="仿宋" w:hAnsi="仿宋" w:eastAsia="仿宋" w:cs="仿宋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D33B88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AE0424"/>
    <w:rsid w:val="5CDC1B37"/>
    <w:rsid w:val="5DA22CDF"/>
    <w:rsid w:val="5EC86D9B"/>
    <w:rsid w:val="5F9C524B"/>
    <w:rsid w:val="5FF27BF4"/>
    <w:rsid w:val="60944E47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6F7F7511"/>
    <w:rsid w:val="7014228B"/>
    <w:rsid w:val="702D53B9"/>
    <w:rsid w:val="703525D6"/>
    <w:rsid w:val="70FE4E91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3687</Words>
  <Characters>4251</Characters>
  <Lines>28</Lines>
  <Paragraphs>8</Paragraphs>
  <TotalTime>4</TotalTime>
  <ScaleCrop>false</ScaleCrop>
  <LinksUpToDate>false</LinksUpToDate>
  <CharactersWithSpaces>4280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NTKO</cp:lastModifiedBy>
  <dcterms:modified xsi:type="dcterms:W3CDTF">2022-11-08T11:06:15Z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D8604EF05B2E4799B5E907D10B657514</vt:lpwstr>
  </property>
</Properties>
</file>