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p>
      <w:pPr>
        <w:pStyle w:val="17"/>
        <w:rPr>
          <w:rFonts w:hint="eastAsia" w:ascii="仿宋" w:hAnsi="仿宋" w:eastAsia="仿宋"/>
          <w:b/>
          <w:sz w:val="24"/>
          <w:szCs w:val="24"/>
          <w:highlight w:val="none"/>
          <w:lang w:val="en-US" w:eastAsia="zh-CN"/>
        </w:rPr>
      </w:pPr>
      <w:r>
        <w:rPr>
          <w:rFonts w:hint="eastAsia" w:ascii="仿宋" w:hAnsi="仿宋" w:eastAsia="仿宋"/>
          <w:b/>
          <w:sz w:val="24"/>
          <w:szCs w:val="24"/>
          <w:highlight w:val="none"/>
          <w:lang w:val="en-US" w:eastAsia="zh-CN"/>
        </w:rPr>
        <w:t>分标一：低压分路监测终端综合组件采购项目</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381"/>
        <w:gridCol w:w="1800"/>
        <w:gridCol w:w="899"/>
        <w:gridCol w:w="1111"/>
        <w:gridCol w:w="1262"/>
        <w:gridCol w:w="1007"/>
        <w:gridCol w:w="1290"/>
        <w:gridCol w:w="1514"/>
        <w:gridCol w:w="155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99"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项目名称</w:t>
            </w:r>
          </w:p>
        </w:tc>
        <w:tc>
          <w:tcPr>
            <w:tcW w:w="487"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物资名称</w:t>
            </w:r>
          </w:p>
        </w:tc>
        <w:tc>
          <w:tcPr>
            <w:tcW w:w="635"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主要技术要求</w:t>
            </w:r>
          </w:p>
        </w:tc>
        <w:tc>
          <w:tcPr>
            <w:tcW w:w="317"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单位</w:t>
            </w:r>
          </w:p>
        </w:tc>
        <w:tc>
          <w:tcPr>
            <w:tcW w:w="392"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数量</w:t>
            </w:r>
          </w:p>
        </w:tc>
        <w:tc>
          <w:tcPr>
            <w:tcW w:w="445"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交货</w:t>
            </w:r>
          </w:p>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日期</w:t>
            </w:r>
          </w:p>
        </w:tc>
        <w:tc>
          <w:tcPr>
            <w:tcW w:w="355"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质保期</w:t>
            </w:r>
          </w:p>
        </w:tc>
        <w:tc>
          <w:tcPr>
            <w:tcW w:w="455"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交货地点</w:t>
            </w:r>
          </w:p>
        </w:tc>
        <w:tc>
          <w:tcPr>
            <w:tcW w:w="534"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kern w:val="0"/>
                <w:sz w:val="22"/>
                <w:szCs w:val="22"/>
                <w:highlight w:val="none"/>
                <w:lang w:val="en-US" w:eastAsia="zh-CN"/>
              </w:rPr>
              <w:t>专用资质要求</w:t>
            </w:r>
          </w:p>
        </w:tc>
        <w:tc>
          <w:tcPr>
            <w:tcW w:w="550"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kern w:val="0"/>
                <w:sz w:val="22"/>
                <w:szCs w:val="22"/>
                <w:highlight w:val="none"/>
                <w:lang w:val="en-US" w:eastAsia="zh-CN"/>
              </w:rPr>
              <w:t>专用业绩要求</w:t>
            </w:r>
          </w:p>
        </w:tc>
        <w:tc>
          <w:tcPr>
            <w:tcW w:w="426"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99" w:type="pct"/>
            <w:vMerge w:val="restart"/>
            <w:vAlign w:val="center"/>
          </w:tcPr>
          <w:p>
            <w:pPr>
              <w:widowControl/>
              <w:snapToGrid w:val="0"/>
              <w:jc w:val="center"/>
              <w:rPr>
                <w:rFonts w:hint="eastAsia" w:ascii="仿宋" w:hAnsi="仿宋" w:eastAsia="仿宋" w:cs="仿宋"/>
                <w:sz w:val="22"/>
                <w:szCs w:val="22"/>
                <w:highlight w:val="none"/>
              </w:rPr>
            </w:pPr>
            <w:r>
              <w:rPr>
                <w:rFonts w:hint="eastAsia" w:ascii="仿宋" w:hAnsi="仿宋" w:eastAsia="仿宋" w:cs="仿宋"/>
                <w:kern w:val="0"/>
                <w:sz w:val="24"/>
                <w:szCs w:val="22"/>
                <w:highlight w:val="none"/>
              </w:rPr>
              <w:t>低压分路监测终端综合组件采购项目</w:t>
            </w:r>
            <w:r>
              <w:rPr>
                <w:rFonts w:hint="eastAsia" w:ascii="仿宋" w:hAnsi="仿宋" w:eastAsia="仿宋" w:cs="仿宋"/>
                <w:kern w:val="0"/>
                <w:sz w:val="22"/>
                <w:szCs w:val="22"/>
                <w:highlight w:val="none"/>
              </w:rPr>
              <w:t>（包一）</w:t>
            </w:r>
          </w:p>
        </w:tc>
        <w:tc>
          <w:tcPr>
            <w:tcW w:w="487" w:type="pct"/>
            <w:vAlign w:val="center"/>
          </w:tcPr>
          <w:p>
            <w:pPr>
              <w:widowControl/>
              <w:jc w:val="left"/>
              <w:textAlignment w:val="center"/>
              <w:rPr>
                <w:rFonts w:hint="eastAsia" w:ascii="仿宋" w:hAnsi="仿宋" w:eastAsia="仿宋" w:cs="仿宋"/>
                <w:sz w:val="22"/>
                <w:szCs w:val="22"/>
                <w:highlight w:val="none"/>
              </w:rPr>
            </w:pPr>
            <w:r>
              <w:rPr>
                <w:rFonts w:hint="eastAsia" w:ascii="仿宋" w:hAnsi="仿宋" w:eastAsia="仿宋" w:cs="仿宋"/>
                <w:kern w:val="0"/>
                <w:sz w:val="24"/>
                <w:szCs w:val="22"/>
                <w:highlight w:val="none"/>
              </w:rPr>
              <w:t>低压分路监测终端配件</w:t>
            </w:r>
          </w:p>
        </w:tc>
        <w:tc>
          <w:tcPr>
            <w:tcW w:w="635" w:type="pct"/>
            <w:shd w:val="clear" w:color="auto" w:fill="auto"/>
            <w:vAlign w:val="center"/>
          </w:tcPr>
          <w:p>
            <w:pPr>
              <w:widowControl/>
              <w:jc w:val="left"/>
              <w:textAlignment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kern w:val="0"/>
                <w:sz w:val="22"/>
                <w:szCs w:val="22"/>
                <w:highlight w:val="none"/>
              </w:rPr>
              <w:t>详见技术规范</w:t>
            </w:r>
          </w:p>
        </w:tc>
        <w:tc>
          <w:tcPr>
            <w:tcW w:w="317" w:type="pct"/>
            <w:shd w:val="clear" w:color="000000" w:fill="FFFFFF"/>
            <w:vAlign w:val="center"/>
          </w:tcPr>
          <w:p>
            <w:pPr>
              <w:widowControl/>
              <w:jc w:val="center"/>
              <w:rPr>
                <w:rFonts w:hint="eastAsia" w:ascii="仿宋" w:hAnsi="仿宋" w:eastAsia="仿宋" w:cs="仿宋"/>
                <w:sz w:val="22"/>
                <w:szCs w:val="22"/>
                <w:highlight w:val="none"/>
              </w:rPr>
            </w:pPr>
            <w:r>
              <w:rPr>
                <w:rFonts w:hint="eastAsia" w:ascii="仿宋" w:hAnsi="仿宋" w:eastAsia="仿宋" w:cs="仿宋"/>
                <w:color w:val="000000" w:themeColor="text1"/>
                <w:kern w:val="0"/>
                <w:sz w:val="22"/>
                <w:szCs w:val="22"/>
                <w:highlight w:val="none"/>
              </w:rPr>
              <w:t>个</w:t>
            </w:r>
          </w:p>
        </w:tc>
        <w:tc>
          <w:tcPr>
            <w:tcW w:w="392" w:type="pct"/>
            <w:shd w:val="clear" w:color="000000" w:fill="FFFFFF"/>
            <w:vAlign w:val="center"/>
          </w:tcPr>
          <w:p>
            <w:pPr>
              <w:widowControl/>
              <w:jc w:val="center"/>
              <w:textAlignment w:val="center"/>
              <w:rPr>
                <w:rFonts w:hint="eastAsia" w:ascii="仿宋" w:hAnsi="仿宋" w:eastAsia="仿宋" w:cs="仿宋"/>
                <w:sz w:val="22"/>
                <w:szCs w:val="22"/>
                <w:highlight w:val="none"/>
              </w:rPr>
            </w:pPr>
            <w:r>
              <w:rPr>
                <w:rFonts w:hint="eastAsia" w:ascii="仿宋" w:hAnsi="仿宋" w:eastAsia="仿宋" w:cs="仿宋"/>
                <w:kern w:val="0"/>
                <w:sz w:val="24"/>
                <w:szCs w:val="24"/>
                <w:highlight w:val="none"/>
              </w:rPr>
              <w:t>2894</w:t>
            </w:r>
          </w:p>
        </w:tc>
        <w:tc>
          <w:tcPr>
            <w:tcW w:w="445" w:type="pct"/>
            <w:vMerge w:val="restart"/>
            <w:shd w:val="clear" w:color="auto" w:fill="auto"/>
            <w:vAlign w:val="center"/>
          </w:tcPr>
          <w:p>
            <w:pPr>
              <w:widowControl/>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接到供货通知后15日内</w:t>
            </w:r>
          </w:p>
        </w:tc>
        <w:tc>
          <w:tcPr>
            <w:tcW w:w="355" w:type="pct"/>
            <w:vMerge w:val="restart"/>
            <w:vAlign w:val="center"/>
          </w:tcPr>
          <w:p>
            <w:pPr>
              <w:widowControl/>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3年</w:t>
            </w:r>
          </w:p>
        </w:tc>
        <w:tc>
          <w:tcPr>
            <w:tcW w:w="455" w:type="pct"/>
            <w:vMerge w:val="restart"/>
            <w:shd w:val="clear" w:color="auto" w:fill="auto"/>
            <w:vAlign w:val="center"/>
          </w:tcPr>
          <w:p>
            <w:pPr>
              <w:widowControl/>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买方指定仓库地面交货</w:t>
            </w:r>
          </w:p>
        </w:tc>
        <w:tc>
          <w:tcPr>
            <w:tcW w:w="534" w:type="pct"/>
            <w:vMerge w:val="restart"/>
            <w:shd w:val="clear" w:color="auto" w:fill="auto"/>
            <w:vAlign w:val="center"/>
          </w:tcPr>
          <w:p>
            <w:pPr>
              <w:widowControl/>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1.厂商要求：</w:t>
            </w:r>
            <w:r>
              <w:rPr>
                <w:rFonts w:hint="eastAsia" w:ascii="仿宋" w:hAnsi="仿宋" w:eastAsia="仿宋" w:cs="仿宋"/>
                <w:sz w:val="22"/>
                <w:szCs w:val="22"/>
                <w:highlight w:val="none"/>
              </w:rPr>
              <w:t>制造商</w:t>
            </w:r>
            <w:r>
              <w:rPr>
                <w:rFonts w:hint="eastAsia" w:ascii="仿宋" w:hAnsi="仿宋" w:eastAsia="仿宋" w:cs="仿宋"/>
                <w:sz w:val="22"/>
                <w:szCs w:val="22"/>
                <w:highlight w:val="none"/>
                <w:lang w:eastAsia="zh-CN"/>
              </w:rPr>
              <w:t>；</w:t>
            </w:r>
          </w:p>
          <w:p>
            <w:pPr>
              <w:widowControl/>
              <w:jc w:val="center"/>
              <w:rPr>
                <w:rFonts w:hint="eastAsia"/>
                <w:highlight w:val="none"/>
                <w:lang w:val="en-US" w:eastAsia="zh-CN"/>
              </w:rPr>
            </w:pPr>
            <w:r>
              <w:rPr>
                <w:rFonts w:hint="eastAsia" w:ascii="仿宋" w:hAnsi="仿宋" w:eastAsia="仿宋" w:cs="仿宋"/>
                <w:sz w:val="22"/>
                <w:szCs w:val="22"/>
                <w:highlight w:val="none"/>
                <w:lang w:val="en-US" w:eastAsia="zh-CN"/>
              </w:rPr>
              <w:t>2.认证证书：</w:t>
            </w:r>
            <w:r>
              <w:rPr>
                <w:rFonts w:hint="eastAsia" w:ascii="仿宋" w:hAnsi="仿宋" w:eastAsia="仿宋" w:cs="仿宋"/>
                <w:kern w:val="0"/>
                <w:sz w:val="22"/>
                <w:szCs w:val="22"/>
                <w:highlight w:val="none"/>
              </w:rPr>
              <w:t>制造商提供有效的</w:t>
            </w:r>
            <w:r>
              <w:rPr>
                <w:rFonts w:hint="eastAsia" w:ascii="仿宋" w:hAnsi="仿宋" w:eastAsia="仿宋" w:cs="仿宋"/>
                <w:kern w:val="0"/>
                <w:sz w:val="22"/>
                <w:szCs w:val="22"/>
                <w:highlight w:val="none"/>
                <w:lang w:eastAsia="zh-CN"/>
              </w:rPr>
              <w:t>ISO9000系列质量管理体系</w:t>
            </w:r>
            <w:r>
              <w:rPr>
                <w:rFonts w:hint="eastAsia" w:ascii="仿宋" w:hAnsi="仿宋" w:eastAsia="仿宋" w:cs="仿宋"/>
                <w:kern w:val="0"/>
                <w:sz w:val="22"/>
                <w:szCs w:val="22"/>
                <w:highlight w:val="none"/>
              </w:rPr>
              <w:t>认证证书。</w:t>
            </w:r>
          </w:p>
        </w:tc>
        <w:tc>
          <w:tcPr>
            <w:tcW w:w="550" w:type="pct"/>
            <w:vMerge w:val="restart"/>
            <w:shd w:val="clear" w:color="auto" w:fill="auto"/>
            <w:vAlign w:val="center"/>
          </w:tcPr>
          <w:p>
            <w:pPr>
              <w:widowControl/>
              <w:jc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lang w:val="en-US" w:eastAsia="zh-CN"/>
              </w:rPr>
              <w:t>业绩要求：</w:t>
            </w:r>
            <w:r>
              <w:rPr>
                <w:rFonts w:hint="eastAsia" w:ascii="仿宋" w:hAnsi="仿宋" w:eastAsia="仿宋" w:cs="仿宋"/>
                <w:kern w:val="0"/>
                <w:sz w:val="22"/>
                <w:szCs w:val="22"/>
                <w:highlight w:val="none"/>
              </w:rPr>
              <w:t>2019年1月1日至招标公告发布之日内所投配网配件类销售业绩不少于2份；注：业绩必须提供对应的合同复印件。</w:t>
            </w:r>
          </w:p>
        </w:tc>
        <w:tc>
          <w:tcPr>
            <w:tcW w:w="426" w:type="pct"/>
            <w:vMerge w:val="restart"/>
            <w:shd w:val="clear" w:color="auto" w:fill="auto"/>
            <w:vAlign w:val="center"/>
          </w:tcPr>
          <w:p>
            <w:pPr>
              <w:widowControl/>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99" w:type="pct"/>
            <w:vMerge w:val="continue"/>
            <w:vAlign w:val="center"/>
          </w:tcPr>
          <w:p>
            <w:pPr>
              <w:widowControl/>
              <w:jc w:val="center"/>
              <w:rPr>
                <w:rFonts w:hint="eastAsia" w:ascii="仿宋" w:hAnsi="仿宋" w:eastAsia="仿宋" w:cs="仿宋"/>
                <w:sz w:val="22"/>
                <w:szCs w:val="22"/>
                <w:highlight w:val="none"/>
              </w:rPr>
            </w:pPr>
          </w:p>
        </w:tc>
        <w:tc>
          <w:tcPr>
            <w:tcW w:w="487" w:type="pct"/>
            <w:vAlign w:val="center"/>
          </w:tcPr>
          <w:p>
            <w:pPr>
              <w:widowControl/>
              <w:jc w:val="left"/>
              <w:textAlignment w:val="center"/>
              <w:rPr>
                <w:rFonts w:hint="eastAsia" w:ascii="仿宋" w:hAnsi="仿宋" w:eastAsia="仿宋" w:cs="仿宋"/>
                <w:sz w:val="22"/>
                <w:szCs w:val="22"/>
                <w:highlight w:val="none"/>
              </w:rPr>
            </w:pPr>
            <w:r>
              <w:rPr>
                <w:rFonts w:hint="eastAsia" w:ascii="仿宋" w:hAnsi="仿宋" w:eastAsia="仿宋" w:cs="仿宋"/>
                <w:kern w:val="0"/>
                <w:sz w:val="24"/>
                <w:szCs w:val="22"/>
                <w:highlight w:val="none"/>
              </w:rPr>
              <w:t>低压分路监测终端扩展配件</w:t>
            </w:r>
          </w:p>
        </w:tc>
        <w:tc>
          <w:tcPr>
            <w:tcW w:w="635" w:type="pct"/>
            <w:shd w:val="clear" w:color="auto" w:fill="auto"/>
            <w:vAlign w:val="center"/>
          </w:tcPr>
          <w:p>
            <w:pPr>
              <w:widowControl/>
              <w:jc w:val="left"/>
              <w:textAlignment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kern w:val="0"/>
                <w:sz w:val="22"/>
                <w:szCs w:val="22"/>
                <w:highlight w:val="none"/>
              </w:rPr>
              <w:t>详见技术规范</w:t>
            </w:r>
          </w:p>
        </w:tc>
        <w:tc>
          <w:tcPr>
            <w:tcW w:w="317" w:type="pct"/>
            <w:shd w:val="clear" w:color="000000" w:fill="FFFFFF"/>
            <w:vAlign w:val="center"/>
          </w:tcPr>
          <w:p>
            <w:pPr>
              <w:widowControl/>
              <w:jc w:val="center"/>
              <w:rPr>
                <w:rFonts w:hint="eastAsia" w:ascii="仿宋" w:hAnsi="仿宋" w:eastAsia="仿宋" w:cs="仿宋"/>
                <w:sz w:val="22"/>
                <w:szCs w:val="22"/>
                <w:highlight w:val="none"/>
              </w:rPr>
            </w:pPr>
            <w:r>
              <w:rPr>
                <w:rFonts w:hint="eastAsia" w:ascii="仿宋" w:hAnsi="仿宋" w:eastAsia="仿宋" w:cs="仿宋"/>
                <w:color w:val="000000" w:themeColor="text1"/>
                <w:kern w:val="0"/>
                <w:sz w:val="22"/>
                <w:szCs w:val="22"/>
                <w:highlight w:val="none"/>
              </w:rPr>
              <w:t>个</w:t>
            </w:r>
          </w:p>
        </w:tc>
        <w:tc>
          <w:tcPr>
            <w:tcW w:w="392" w:type="pct"/>
            <w:shd w:val="clear" w:color="000000" w:fill="FFFFFF"/>
            <w:vAlign w:val="center"/>
          </w:tcPr>
          <w:p>
            <w:pPr>
              <w:widowControl/>
              <w:jc w:val="center"/>
              <w:textAlignment w:val="center"/>
              <w:rPr>
                <w:rFonts w:hint="eastAsia" w:ascii="仿宋" w:hAnsi="仿宋" w:eastAsia="仿宋" w:cs="仿宋"/>
                <w:sz w:val="22"/>
                <w:szCs w:val="22"/>
                <w:highlight w:val="none"/>
              </w:rPr>
            </w:pPr>
            <w:r>
              <w:rPr>
                <w:rFonts w:hint="eastAsia" w:ascii="仿宋" w:hAnsi="仿宋" w:eastAsia="仿宋" w:cs="仿宋"/>
                <w:kern w:val="0"/>
                <w:sz w:val="24"/>
                <w:szCs w:val="24"/>
                <w:highlight w:val="none"/>
              </w:rPr>
              <w:t>4820</w:t>
            </w:r>
          </w:p>
        </w:tc>
        <w:tc>
          <w:tcPr>
            <w:tcW w:w="445" w:type="pct"/>
            <w:vMerge w:val="continue"/>
            <w:shd w:val="clear" w:color="auto" w:fill="auto"/>
            <w:vAlign w:val="center"/>
          </w:tcPr>
          <w:p>
            <w:pPr>
              <w:widowControl/>
              <w:jc w:val="center"/>
              <w:rPr>
                <w:rFonts w:hint="eastAsia" w:ascii="仿宋" w:hAnsi="仿宋" w:eastAsia="仿宋" w:cs="仿宋"/>
                <w:sz w:val="22"/>
                <w:szCs w:val="22"/>
                <w:highlight w:val="none"/>
              </w:rPr>
            </w:pPr>
          </w:p>
        </w:tc>
        <w:tc>
          <w:tcPr>
            <w:tcW w:w="355" w:type="pct"/>
            <w:vMerge w:val="continue"/>
            <w:vAlign w:val="center"/>
          </w:tcPr>
          <w:p>
            <w:pPr>
              <w:widowControl/>
              <w:jc w:val="center"/>
              <w:rPr>
                <w:rFonts w:hint="eastAsia" w:ascii="仿宋" w:hAnsi="仿宋" w:eastAsia="仿宋" w:cs="仿宋"/>
                <w:sz w:val="22"/>
                <w:szCs w:val="22"/>
                <w:highlight w:val="none"/>
              </w:rPr>
            </w:pPr>
          </w:p>
        </w:tc>
        <w:tc>
          <w:tcPr>
            <w:tcW w:w="455" w:type="pct"/>
            <w:vMerge w:val="continue"/>
            <w:shd w:val="clear" w:color="auto" w:fill="auto"/>
            <w:vAlign w:val="center"/>
          </w:tcPr>
          <w:p>
            <w:pPr>
              <w:widowControl/>
              <w:jc w:val="center"/>
              <w:rPr>
                <w:rFonts w:hint="eastAsia" w:ascii="仿宋" w:hAnsi="仿宋" w:eastAsia="仿宋" w:cs="仿宋"/>
                <w:sz w:val="22"/>
                <w:szCs w:val="22"/>
                <w:highlight w:val="none"/>
              </w:rPr>
            </w:pPr>
          </w:p>
        </w:tc>
        <w:tc>
          <w:tcPr>
            <w:tcW w:w="534" w:type="pct"/>
            <w:vMerge w:val="continue"/>
            <w:shd w:val="clear" w:color="auto" w:fill="auto"/>
            <w:vAlign w:val="center"/>
          </w:tcPr>
          <w:p>
            <w:pPr>
              <w:widowControl/>
              <w:jc w:val="center"/>
              <w:rPr>
                <w:rFonts w:hint="eastAsia" w:ascii="仿宋" w:hAnsi="仿宋" w:eastAsia="仿宋" w:cs="仿宋"/>
                <w:sz w:val="22"/>
                <w:szCs w:val="22"/>
                <w:highlight w:val="none"/>
              </w:rPr>
            </w:pPr>
          </w:p>
        </w:tc>
        <w:tc>
          <w:tcPr>
            <w:tcW w:w="550" w:type="pct"/>
            <w:vMerge w:val="continue"/>
            <w:shd w:val="clear" w:color="auto" w:fill="auto"/>
            <w:vAlign w:val="center"/>
          </w:tcPr>
          <w:p>
            <w:pPr>
              <w:widowControl/>
              <w:jc w:val="center"/>
              <w:rPr>
                <w:rFonts w:hint="eastAsia" w:ascii="仿宋" w:hAnsi="仿宋" w:eastAsia="仿宋" w:cs="仿宋"/>
                <w:sz w:val="22"/>
                <w:szCs w:val="22"/>
                <w:highlight w:val="none"/>
              </w:rPr>
            </w:pPr>
          </w:p>
        </w:tc>
        <w:tc>
          <w:tcPr>
            <w:tcW w:w="426" w:type="pct"/>
            <w:vMerge w:val="continue"/>
            <w:shd w:val="clear" w:color="auto" w:fill="auto"/>
            <w:vAlign w:val="center"/>
          </w:tcPr>
          <w:p>
            <w:pPr>
              <w:widowControl/>
              <w:jc w:val="center"/>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99" w:type="pct"/>
            <w:vMerge w:val="restart"/>
            <w:vAlign w:val="center"/>
          </w:tcPr>
          <w:p>
            <w:pPr>
              <w:widowControl/>
              <w:snapToGrid w:val="0"/>
              <w:jc w:val="center"/>
              <w:rPr>
                <w:rFonts w:hint="eastAsia" w:ascii="仿宋" w:hAnsi="仿宋" w:eastAsia="仿宋" w:cs="仿宋"/>
                <w:sz w:val="22"/>
                <w:szCs w:val="22"/>
                <w:highlight w:val="none"/>
              </w:rPr>
            </w:pPr>
            <w:r>
              <w:rPr>
                <w:rFonts w:hint="eastAsia" w:ascii="仿宋" w:hAnsi="仿宋" w:eastAsia="仿宋" w:cs="仿宋"/>
                <w:kern w:val="0"/>
                <w:sz w:val="24"/>
                <w:szCs w:val="22"/>
                <w:highlight w:val="none"/>
              </w:rPr>
              <w:t>低压分路监测终端综合组件采购项目</w:t>
            </w:r>
            <w:r>
              <w:rPr>
                <w:rFonts w:hint="eastAsia" w:ascii="仿宋" w:hAnsi="仿宋" w:eastAsia="仿宋" w:cs="仿宋"/>
                <w:color w:val="000000"/>
                <w:sz w:val="22"/>
                <w:szCs w:val="22"/>
                <w:highlight w:val="none"/>
              </w:rPr>
              <w:t>（</w:t>
            </w:r>
            <w:r>
              <w:rPr>
                <w:rFonts w:hint="eastAsia" w:ascii="仿宋" w:hAnsi="仿宋" w:eastAsia="仿宋" w:cs="仿宋"/>
                <w:kern w:val="0"/>
                <w:sz w:val="22"/>
                <w:szCs w:val="22"/>
                <w:highlight w:val="none"/>
              </w:rPr>
              <w:t>包二</w:t>
            </w:r>
            <w:r>
              <w:rPr>
                <w:rFonts w:hint="eastAsia" w:ascii="仿宋" w:hAnsi="仿宋" w:eastAsia="仿宋" w:cs="仿宋"/>
                <w:color w:val="000000"/>
                <w:sz w:val="22"/>
                <w:szCs w:val="22"/>
                <w:highlight w:val="none"/>
              </w:rPr>
              <w:t>）</w:t>
            </w:r>
          </w:p>
        </w:tc>
        <w:tc>
          <w:tcPr>
            <w:tcW w:w="487" w:type="pct"/>
            <w:vAlign w:val="center"/>
          </w:tcPr>
          <w:p>
            <w:pPr>
              <w:widowControl/>
              <w:jc w:val="left"/>
              <w:textAlignment w:val="center"/>
              <w:rPr>
                <w:rFonts w:hint="eastAsia" w:ascii="仿宋" w:hAnsi="仿宋" w:eastAsia="仿宋" w:cs="仿宋"/>
                <w:sz w:val="22"/>
                <w:szCs w:val="22"/>
                <w:highlight w:val="none"/>
              </w:rPr>
            </w:pPr>
            <w:r>
              <w:rPr>
                <w:rFonts w:hint="eastAsia" w:ascii="仿宋" w:hAnsi="仿宋" w:eastAsia="仿宋" w:cs="仿宋"/>
                <w:kern w:val="0"/>
                <w:sz w:val="24"/>
                <w:szCs w:val="22"/>
                <w:highlight w:val="none"/>
              </w:rPr>
              <w:t>低压分路监测终端配件</w:t>
            </w:r>
          </w:p>
        </w:tc>
        <w:tc>
          <w:tcPr>
            <w:tcW w:w="635" w:type="pct"/>
            <w:shd w:val="clear" w:color="auto" w:fill="auto"/>
            <w:vAlign w:val="center"/>
          </w:tcPr>
          <w:p>
            <w:pPr>
              <w:widowControl/>
              <w:jc w:val="left"/>
              <w:textAlignment w:val="center"/>
              <w:rPr>
                <w:rFonts w:hint="eastAsia" w:ascii="仿宋" w:hAnsi="仿宋" w:eastAsia="仿宋" w:cs="仿宋"/>
                <w:sz w:val="22"/>
                <w:szCs w:val="22"/>
                <w:highlight w:val="none"/>
              </w:rPr>
            </w:pPr>
            <w:r>
              <w:rPr>
                <w:rFonts w:hint="eastAsia" w:ascii="仿宋" w:hAnsi="仿宋" w:eastAsia="仿宋" w:cs="仿宋"/>
                <w:color w:val="000000" w:themeColor="text1"/>
                <w:kern w:val="0"/>
                <w:sz w:val="22"/>
                <w:szCs w:val="22"/>
                <w:highlight w:val="none"/>
              </w:rPr>
              <w:t>详见技术规范</w:t>
            </w:r>
          </w:p>
        </w:tc>
        <w:tc>
          <w:tcPr>
            <w:tcW w:w="317" w:type="pct"/>
            <w:shd w:val="clear" w:color="000000" w:fill="FFFFFF"/>
            <w:vAlign w:val="center"/>
          </w:tcPr>
          <w:p>
            <w:pPr>
              <w:widowControl/>
              <w:jc w:val="center"/>
              <w:rPr>
                <w:rFonts w:hint="eastAsia" w:ascii="仿宋" w:hAnsi="仿宋" w:eastAsia="仿宋" w:cs="仿宋"/>
                <w:sz w:val="22"/>
                <w:szCs w:val="22"/>
                <w:highlight w:val="none"/>
              </w:rPr>
            </w:pPr>
            <w:r>
              <w:rPr>
                <w:rFonts w:hint="eastAsia" w:ascii="仿宋" w:hAnsi="仿宋" w:eastAsia="仿宋" w:cs="仿宋"/>
                <w:color w:val="000000" w:themeColor="text1"/>
                <w:kern w:val="0"/>
                <w:sz w:val="22"/>
                <w:szCs w:val="22"/>
                <w:highlight w:val="none"/>
              </w:rPr>
              <w:t>个</w:t>
            </w:r>
          </w:p>
        </w:tc>
        <w:tc>
          <w:tcPr>
            <w:tcW w:w="392" w:type="pct"/>
            <w:shd w:val="clear" w:color="000000" w:fill="FFFFFF"/>
            <w:vAlign w:val="center"/>
          </w:tcPr>
          <w:p>
            <w:pPr>
              <w:widowControl/>
              <w:jc w:val="center"/>
              <w:textAlignment w:val="center"/>
              <w:rPr>
                <w:rFonts w:hint="eastAsia" w:ascii="仿宋" w:hAnsi="仿宋" w:eastAsia="仿宋" w:cs="仿宋"/>
                <w:sz w:val="22"/>
                <w:szCs w:val="22"/>
                <w:highlight w:val="none"/>
              </w:rPr>
            </w:pPr>
            <w:r>
              <w:rPr>
                <w:rFonts w:hint="eastAsia" w:ascii="仿宋" w:hAnsi="仿宋" w:eastAsia="仿宋" w:cs="仿宋"/>
                <w:kern w:val="0"/>
                <w:sz w:val="24"/>
                <w:szCs w:val="24"/>
                <w:highlight w:val="none"/>
              </w:rPr>
              <w:t>1208</w:t>
            </w:r>
          </w:p>
        </w:tc>
        <w:tc>
          <w:tcPr>
            <w:tcW w:w="445" w:type="pct"/>
            <w:vMerge w:val="restart"/>
            <w:shd w:val="clear" w:color="auto" w:fill="auto"/>
            <w:vAlign w:val="center"/>
          </w:tcPr>
          <w:p>
            <w:pPr>
              <w:widowControl/>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接到供货通知后15日内</w:t>
            </w:r>
          </w:p>
        </w:tc>
        <w:tc>
          <w:tcPr>
            <w:tcW w:w="355" w:type="pct"/>
            <w:vMerge w:val="restart"/>
            <w:vAlign w:val="center"/>
          </w:tcPr>
          <w:p>
            <w:pPr>
              <w:widowControl/>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3年</w:t>
            </w:r>
          </w:p>
        </w:tc>
        <w:tc>
          <w:tcPr>
            <w:tcW w:w="455" w:type="pct"/>
            <w:vMerge w:val="restart"/>
            <w:shd w:val="clear" w:color="auto" w:fill="auto"/>
            <w:vAlign w:val="center"/>
          </w:tcPr>
          <w:p>
            <w:pPr>
              <w:widowControl/>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买方指定仓库地面交货</w:t>
            </w:r>
          </w:p>
        </w:tc>
        <w:tc>
          <w:tcPr>
            <w:tcW w:w="534" w:type="pct"/>
            <w:vMerge w:val="restart"/>
            <w:shd w:val="clear" w:color="auto" w:fill="auto"/>
            <w:vAlign w:val="center"/>
          </w:tcPr>
          <w:p>
            <w:pPr>
              <w:widowControl/>
              <w:numPr>
                <w:ilvl w:val="0"/>
                <w:numId w:val="1"/>
              </w:numPr>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厂商要求：制造商；</w:t>
            </w:r>
          </w:p>
          <w:p>
            <w:pPr>
              <w:pStyle w:val="2"/>
              <w:numPr>
                <w:ilvl w:val="0"/>
                <w:numId w:val="1"/>
              </w:numP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认证证书：</w:t>
            </w:r>
            <w:r>
              <w:rPr>
                <w:rFonts w:hint="eastAsia" w:ascii="仿宋" w:hAnsi="仿宋" w:eastAsia="仿宋" w:cs="仿宋"/>
                <w:kern w:val="0"/>
                <w:sz w:val="22"/>
                <w:szCs w:val="22"/>
                <w:highlight w:val="none"/>
              </w:rPr>
              <w:t>制造商提供有效的</w:t>
            </w:r>
            <w:r>
              <w:rPr>
                <w:rFonts w:hint="eastAsia" w:ascii="仿宋" w:hAnsi="仿宋" w:eastAsia="仿宋" w:cs="仿宋"/>
                <w:kern w:val="0"/>
                <w:sz w:val="22"/>
                <w:szCs w:val="22"/>
                <w:highlight w:val="none"/>
                <w:lang w:eastAsia="zh-CN"/>
              </w:rPr>
              <w:t>ISO9000系列质量管理体系</w:t>
            </w:r>
            <w:r>
              <w:rPr>
                <w:rFonts w:hint="eastAsia" w:ascii="仿宋" w:hAnsi="仿宋" w:eastAsia="仿宋" w:cs="仿宋"/>
                <w:kern w:val="0"/>
                <w:sz w:val="22"/>
                <w:szCs w:val="22"/>
                <w:highlight w:val="none"/>
              </w:rPr>
              <w:t>认证证书。</w:t>
            </w:r>
          </w:p>
          <w:p>
            <w:pPr>
              <w:pStyle w:val="2"/>
              <w:numPr>
                <w:ilvl w:val="0"/>
                <w:numId w:val="0"/>
              </w:numPr>
              <w:rPr>
                <w:rFonts w:hint="eastAsia" w:ascii="仿宋" w:hAnsi="仿宋" w:eastAsia="仿宋" w:cs="仿宋"/>
                <w:sz w:val="22"/>
                <w:szCs w:val="22"/>
                <w:highlight w:val="none"/>
                <w:lang w:val="en-US" w:eastAsia="zh-CN"/>
              </w:rPr>
            </w:pPr>
          </w:p>
        </w:tc>
        <w:tc>
          <w:tcPr>
            <w:tcW w:w="550" w:type="pct"/>
            <w:vMerge w:val="restart"/>
            <w:shd w:val="clear" w:color="auto" w:fill="auto"/>
            <w:vAlign w:val="center"/>
          </w:tcPr>
          <w:p>
            <w:pPr>
              <w:widowControl/>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业绩要求：</w:t>
            </w:r>
            <w:r>
              <w:rPr>
                <w:rFonts w:hint="eastAsia" w:ascii="仿宋" w:hAnsi="仿宋" w:eastAsia="仿宋" w:cs="仿宋"/>
                <w:kern w:val="0"/>
                <w:sz w:val="22"/>
                <w:szCs w:val="22"/>
                <w:highlight w:val="none"/>
              </w:rPr>
              <w:t>2019年1月1日至招标公告发布之日内所投配网配件类销售业绩不少于2份；注：业绩必须提供对应的合同复印件。</w:t>
            </w:r>
          </w:p>
        </w:tc>
        <w:tc>
          <w:tcPr>
            <w:tcW w:w="426" w:type="pct"/>
            <w:vMerge w:val="restart"/>
            <w:shd w:val="clear" w:color="auto" w:fill="auto"/>
            <w:vAlign w:val="center"/>
          </w:tcPr>
          <w:p>
            <w:pPr>
              <w:widowControl/>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99" w:type="pct"/>
            <w:vMerge w:val="continue"/>
            <w:vAlign w:val="center"/>
          </w:tcPr>
          <w:p>
            <w:pPr>
              <w:widowControl/>
              <w:jc w:val="center"/>
              <w:rPr>
                <w:rFonts w:hint="eastAsia" w:ascii="仿宋" w:hAnsi="仿宋" w:eastAsia="仿宋" w:cs="仿宋"/>
                <w:sz w:val="22"/>
                <w:szCs w:val="22"/>
                <w:highlight w:val="none"/>
              </w:rPr>
            </w:pPr>
          </w:p>
        </w:tc>
        <w:tc>
          <w:tcPr>
            <w:tcW w:w="487" w:type="pct"/>
            <w:vAlign w:val="center"/>
          </w:tcPr>
          <w:p>
            <w:pPr>
              <w:widowControl/>
              <w:jc w:val="left"/>
              <w:textAlignment w:val="center"/>
              <w:rPr>
                <w:rFonts w:hint="eastAsia" w:ascii="仿宋" w:hAnsi="仿宋" w:eastAsia="仿宋" w:cs="仿宋"/>
                <w:sz w:val="22"/>
                <w:szCs w:val="22"/>
                <w:highlight w:val="none"/>
              </w:rPr>
            </w:pPr>
            <w:r>
              <w:rPr>
                <w:rFonts w:hint="eastAsia" w:ascii="仿宋" w:hAnsi="仿宋" w:eastAsia="仿宋" w:cs="仿宋"/>
                <w:kern w:val="0"/>
                <w:sz w:val="24"/>
                <w:szCs w:val="22"/>
                <w:highlight w:val="none"/>
              </w:rPr>
              <w:t>低压分路监测终端扩展配件</w:t>
            </w:r>
          </w:p>
        </w:tc>
        <w:tc>
          <w:tcPr>
            <w:tcW w:w="635" w:type="pct"/>
            <w:shd w:val="clear" w:color="auto" w:fill="auto"/>
            <w:vAlign w:val="center"/>
          </w:tcPr>
          <w:p>
            <w:pPr>
              <w:widowControl/>
              <w:jc w:val="left"/>
              <w:textAlignment w:val="center"/>
              <w:rPr>
                <w:rFonts w:hint="eastAsia" w:ascii="仿宋" w:hAnsi="仿宋" w:eastAsia="仿宋" w:cs="仿宋"/>
                <w:sz w:val="22"/>
                <w:szCs w:val="22"/>
                <w:highlight w:val="none"/>
              </w:rPr>
            </w:pPr>
            <w:r>
              <w:rPr>
                <w:rFonts w:hint="eastAsia" w:ascii="仿宋" w:hAnsi="仿宋" w:eastAsia="仿宋" w:cs="仿宋"/>
                <w:color w:val="000000" w:themeColor="text1"/>
                <w:kern w:val="0"/>
                <w:sz w:val="22"/>
                <w:szCs w:val="22"/>
                <w:highlight w:val="none"/>
              </w:rPr>
              <w:t>详见技术规范</w:t>
            </w:r>
          </w:p>
        </w:tc>
        <w:tc>
          <w:tcPr>
            <w:tcW w:w="317" w:type="pct"/>
            <w:shd w:val="clear" w:color="000000" w:fill="FFFFFF"/>
            <w:vAlign w:val="center"/>
          </w:tcPr>
          <w:p>
            <w:pPr>
              <w:widowControl/>
              <w:jc w:val="center"/>
              <w:rPr>
                <w:rFonts w:hint="eastAsia" w:ascii="仿宋" w:hAnsi="仿宋" w:eastAsia="仿宋" w:cs="仿宋"/>
                <w:sz w:val="22"/>
                <w:szCs w:val="22"/>
                <w:highlight w:val="none"/>
              </w:rPr>
            </w:pPr>
            <w:r>
              <w:rPr>
                <w:rFonts w:hint="eastAsia" w:ascii="仿宋" w:hAnsi="仿宋" w:eastAsia="仿宋" w:cs="仿宋"/>
                <w:color w:val="000000" w:themeColor="text1"/>
                <w:kern w:val="0"/>
                <w:sz w:val="22"/>
                <w:szCs w:val="22"/>
                <w:highlight w:val="none"/>
              </w:rPr>
              <w:t>个</w:t>
            </w:r>
          </w:p>
        </w:tc>
        <w:tc>
          <w:tcPr>
            <w:tcW w:w="392" w:type="pct"/>
            <w:shd w:val="clear" w:color="000000" w:fill="FFFFFF"/>
            <w:vAlign w:val="center"/>
          </w:tcPr>
          <w:p>
            <w:pPr>
              <w:widowControl/>
              <w:jc w:val="center"/>
              <w:textAlignment w:val="center"/>
              <w:rPr>
                <w:rFonts w:hint="eastAsia" w:ascii="仿宋" w:hAnsi="仿宋" w:eastAsia="仿宋" w:cs="仿宋"/>
                <w:sz w:val="22"/>
                <w:szCs w:val="22"/>
                <w:highlight w:val="none"/>
              </w:rPr>
            </w:pPr>
            <w:r>
              <w:rPr>
                <w:rFonts w:hint="eastAsia" w:ascii="仿宋" w:hAnsi="仿宋" w:eastAsia="仿宋" w:cs="仿宋"/>
                <w:kern w:val="0"/>
                <w:sz w:val="24"/>
                <w:szCs w:val="24"/>
                <w:highlight w:val="none"/>
              </w:rPr>
              <w:t>1451</w:t>
            </w:r>
          </w:p>
        </w:tc>
        <w:tc>
          <w:tcPr>
            <w:tcW w:w="445" w:type="pct"/>
            <w:vMerge w:val="continue"/>
            <w:shd w:val="clear" w:color="auto" w:fill="auto"/>
            <w:vAlign w:val="center"/>
          </w:tcPr>
          <w:p>
            <w:pPr>
              <w:widowControl/>
              <w:jc w:val="center"/>
              <w:rPr>
                <w:rFonts w:hint="eastAsia" w:ascii="仿宋" w:hAnsi="仿宋" w:eastAsia="仿宋" w:cs="仿宋"/>
                <w:sz w:val="22"/>
                <w:szCs w:val="22"/>
                <w:highlight w:val="none"/>
              </w:rPr>
            </w:pPr>
          </w:p>
        </w:tc>
        <w:tc>
          <w:tcPr>
            <w:tcW w:w="355" w:type="pct"/>
            <w:vMerge w:val="continue"/>
            <w:vAlign w:val="center"/>
          </w:tcPr>
          <w:p>
            <w:pPr>
              <w:widowControl/>
              <w:jc w:val="center"/>
              <w:rPr>
                <w:rFonts w:hint="eastAsia" w:ascii="仿宋" w:hAnsi="仿宋" w:eastAsia="仿宋" w:cs="仿宋"/>
                <w:sz w:val="22"/>
                <w:szCs w:val="22"/>
                <w:highlight w:val="none"/>
              </w:rPr>
            </w:pPr>
          </w:p>
        </w:tc>
        <w:tc>
          <w:tcPr>
            <w:tcW w:w="455" w:type="pct"/>
            <w:vMerge w:val="continue"/>
            <w:shd w:val="clear" w:color="auto" w:fill="auto"/>
            <w:vAlign w:val="center"/>
          </w:tcPr>
          <w:p>
            <w:pPr>
              <w:widowControl/>
              <w:jc w:val="center"/>
              <w:rPr>
                <w:rFonts w:hint="eastAsia" w:ascii="仿宋" w:hAnsi="仿宋" w:eastAsia="仿宋" w:cs="仿宋"/>
                <w:sz w:val="22"/>
                <w:szCs w:val="22"/>
                <w:highlight w:val="none"/>
              </w:rPr>
            </w:pPr>
          </w:p>
        </w:tc>
        <w:tc>
          <w:tcPr>
            <w:tcW w:w="534" w:type="pct"/>
            <w:vMerge w:val="continue"/>
            <w:shd w:val="clear" w:color="auto" w:fill="auto"/>
            <w:vAlign w:val="center"/>
          </w:tcPr>
          <w:p>
            <w:pPr>
              <w:widowControl/>
              <w:jc w:val="center"/>
              <w:rPr>
                <w:rFonts w:hint="eastAsia" w:ascii="仿宋" w:hAnsi="仿宋" w:eastAsia="仿宋" w:cs="仿宋"/>
                <w:sz w:val="22"/>
                <w:szCs w:val="22"/>
                <w:highlight w:val="none"/>
              </w:rPr>
            </w:pPr>
          </w:p>
        </w:tc>
        <w:tc>
          <w:tcPr>
            <w:tcW w:w="550" w:type="pct"/>
            <w:vMerge w:val="continue"/>
            <w:shd w:val="clear" w:color="auto" w:fill="auto"/>
            <w:vAlign w:val="center"/>
          </w:tcPr>
          <w:p>
            <w:pPr>
              <w:widowControl/>
              <w:jc w:val="center"/>
              <w:rPr>
                <w:rFonts w:hint="eastAsia" w:ascii="仿宋" w:hAnsi="仿宋" w:eastAsia="仿宋" w:cs="仿宋"/>
                <w:sz w:val="22"/>
                <w:szCs w:val="22"/>
                <w:highlight w:val="none"/>
              </w:rPr>
            </w:pPr>
          </w:p>
        </w:tc>
        <w:tc>
          <w:tcPr>
            <w:tcW w:w="426" w:type="pct"/>
            <w:vMerge w:val="continue"/>
            <w:shd w:val="clear" w:color="auto" w:fill="auto"/>
            <w:vAlign w:val="center"/>
          </w:tcPr>
          <w:p>
            <w:pPr>
              <w:widowControl/>
              <w:jc w:val="center"/>
              <w:rPr>
                <w:rFonts w:hint="eastAsia" w:ascii="仿宋" w:hAnsi="仿宋" w:eastAsia="仿宋" w:cs="仿宋"/>
                <w:sz w:val="22"/>
                <w:szCs w:val="22"/>
                <w:highlight w:val="none"/>
              </w:rPr>
            </w:pPr>
          </w:p>
        </w:tc>
      </w:tr>
    </w:tbl>
    <w:p>
      <w:pPr>
        <w:pStyle w:val="17"/>
        <w:rPr>
          <w:rFonts w:hint="eastAsia" w:ascii="仿宋" w:hAnsi="仿宋" w:eastAsia="仿宋"/>
          <w:b/>
          <w:sz w:val="24"/>
          <w:szCs w:val="24"/>
          <w:highlight w:val="none"/>
          <w:lang w:val="en-US" w:eastAsia="zh-CN"/>
        </w:rPr>
      </w:pPr>
    </w:p>
    <w:p>
      <w:pPr>
        <w:pStyle w:val="18"/>
        <w:rPr>
          <w:rFonts w:hint="eastAsia" w:ascii="仿宋" w:hAnsi="仿宋" w:eastAsia="仿宋" w:cs="仿宋"/>
          <w:sz w:val="22"/>
          <w:szCs w:val="22"/>
          <w:highlight w:val="none"/>
        </w:rPr>
      </w:pPr>
      <w:bookmarkStart w:id="0" w:name="商务初评模板"/>
      <w:r>
        <w:rPr>
          <w:rFonts w:hint="eastAsia" w:ascii="仿宋" w:hAnsi="仿宋" w:eastAsia="仿宋" w:cs="仿宋"/>
          <w:sz w:val="22"/>
          <w:szCs w:val="22"/>
          <w:highlight w:val="none"/>
        </w:rPr>
        <w:t>具体供货不局限于上述产品。应包括上述产品相关配件，类似升级产品。</w:t>
      </w:r>
    </w:p>
    <w:bookmarkEnd w:id="0"/>
    <w:p>
      <w:pP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2.投标文件中提供的证明材料复印件应复印清晰、可辨认且不得遮盖、涂抹，否则视为无效。</w:t>
      </w:r>
    </w:p>
    <w:p>
      <w:pPr>
        <w:rPr>
          <w:rFonts w:ascii="仿宋" w:hAnsi="仿宋" w:eastAsia="仿宋"/>
          <w:kern w:val="0"/>
          <w:sz w:val="24"/>
          <w:szCs w:val="24"/>
          <w:highlight w:val="none"/>
        </w:rPr>
      </w:pPr>
      <w:r>
        <w:rPr>
          <w:rFonts w:ascii="仿宋" w:hAnsi="仿宋" w:eastAsia="仿宋"/>
          <w:kern w:val="0"/>
          <w:sz w:val="24"/>
          <w:szCs w:val="24"/>
          <w:highlight w:val="none"/>
        </w:rPr>
        <w:br w:type="page"/>
      </w:r>
    </w:p>
    <w:p>
      <w:pPr>
        <w:pStyle w:val="2"/>
        <w:rPr>
          <w:rFonts w:hint="eastAsia" w:ascii="仿宋" w:hAnsi="仿宋" w:eastAsia="仿宋"/>
          <w:b/>
          <w:sz w:val="24"/>
          <w:szCs w:val="24"/>
          <w:highlight w:val="none"/>
          <w:lang w:val="en-US" w:eastAsia="zh-CN"/>
        </w:rPr>
      </w:pPr>
      <w:r>
        <w:rPr>
          <w:rFonts w:hint="eastAsia" w:ascii="仿宋" w:hAnsi="仿宋" w:eastAsia="仿宋"/>
          <w:b/>
          <w:sz w:val="24"/>
          <w:szCs w:val="24"/>
          <w:highlight w:val="none"/>
          <w:lang w:val="en-US" w:eastAsia="zh-CN"/>
        </w:rPr>
        <w:t>分标二：智能电容器装置采购项目</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185"/>
        <w:gridCol w:w="2087"/>
        <w:gridCol w:w="890"/>
        <w:gridCol w:w="1038"/>
        <w:gridCol w:w="1100"/>
        <w:gridCol w:w="916"/>
        <w:gridCol w:w="1154"/>
        <w:gridCol w:w="1664"/>
        <w:gridCol w:w="144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85"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项目名称</w:t>
            </w:r>
          </w:p>
        </w:tc>
        <w:tc>
          <w:tcPr>
            <w:tcW w:w="418"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物资名称</w:t>
            </w:r>
          </w:p>
        </w:tc>
        <w:tc>
          <w:tcPr>
            <w:tcW w:w="736"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主要技术要求</w:t>
            </w:r>
          </w:p>
        </w:tc>
        <w:tc>
          <w:tcPr>
            <w:tcW w:w="314"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单位</w:t>
            </w:r>
          </w:p>
        </w:tc>
        <w:tc>
          <w:tcPr>
            <w:tcW w:w="366"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数量</w:t>
            </w:r>
          </w:p>
        </w:tc>
        <w:tc>
          <w:tcPr>
            <w:tcW w:w="388"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交货</w:t>
            </w:r>
          </w:p>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日期</w:t>
            </w:r>
          </w:p>
        </w:tc>
        <w:tc>
          <w:tcPr>
            <w:tcW w:w="323"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质保期</w:t>
            </w:r>
          </w:p>
        </w:tc>
        <w:tc>
          <w:tcPr>
            <w:tcW w:w="407"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交货地点</w:t>
            </w:r>
          </w:p>
        </w:tc>
        <w:tc>
          <w:tcPr>
            <w:tcW w:w="587"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kern w:val="0"/>
                <w:sz w:val="22"/>
                <w:szCs w:val="22"/>
                <w:highlight w:val="none"/>
                <w:lang w:val="en-US" w:eastAsia="zh-CN"/>
              </w:rPr>
              <w:t>专用资质要求</w:t>
            </w:r>
          </w:p>
        </w:tc>
        <w:tc>
          <w:tcPr>
            <w:tcW w:w="511"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kern w:val="0"/>
                <w:sz w:val="22"/>
                <w:szCs w:val="22"/>
                <w:highlight w:val="none"/>
                <w:lang w:val="en-US" w:eastAsia="zh-CN"/>
              </w:rPr>
              <w:t>专用业绩要求</w:t>
            </w:r>
          </w:p>
        </w:tc>
        <w:tc>
          <w:tcPr>
            <w:tcW w:w="460"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485" w:type="pct"/>
            <w:vAlign w:val="center"/>
          </w:tcPr>
          <w:p>
            <w:pPr>
              <w:widowControl/>
              <w:jc w:val="center"/>
              <w:rPr>
                <w:rFonts w:hint="eastAsia" w:ascii="仿宋" w:hAnsi="仿宋" w:eastAsia="仿宋" w:cs="仿宋"/>
                <w:color w:val="000000" w:themeColor="text1"/>
                <w:kern w:val="0"/>
                <w:sz w:val="22"/>
                <w:szCs w:val="21"/>
                <w:highlight w:val="none"/>
              </w:rPr>
            </w:pPr>
            <w:r>
              <w:rPr>
                <w:rFonts w:hint="eastAsia" w:ascii="仿宋" w:hAnsi="仿宋" w:eastAsia="仿宋" w:cs="仿宋"/>
                <w:spacing w:val="-2"/>
                <w:sz w:val="22"/>
                <w:szCs w:val="21"/>
                <w:highlight w:val="none"/>
              </w:rPr>
              <w:t>智能电容器装置采购项目（包一）</w:t>
            </w:r>
          </w:p>
        </w:tc>
        <w:tc>
          <w:tcPr>
            <w:tcW w:w="418" w:type="pct"/>
            <w:vAlign w:val="center"/>
          </w:tcPr>
          <w:p>
            <w:pPr>
              <w:widowControl/>
              <w:jc w:val="left"/>
              <w:textAlignment w:val="center"/>
              <w:rPr>
                <w:rFonts w:hint="eastAsia" w:ascii="仿宋" w:hAnsi="仿宋" w:eastAsia="仿宋" w:cs="仿宋"/>
                <w:color w:val="000000" w:themeColor="text1"/>
                <w:kern w:val="0"/>
                <w:sz w:val="22"/>
                <w:szCs w:val="21"/>
                <w:highlight w:val="none"/>
              </w:rPr>
            </w:pPr>
            <w:r>
              <w:rPr>
                <w:rFonts w:hint="eastAsia" w:ascii="仿宋" w:hAnsi="仿宋" w:eastAsia="仿宋" w:cs="仿宋"/>
                <w:spacing w:val="-2"/>
                <w:sz w:val="22"/>
                <w:szCs w:val="21"/>
                <w:highlight w:val="none"/>
              </w:rPr>
              <w:t>智能电容器装置</w:t>
            </w:r>
          </w:p>
        </w:tc>
        <w:tc>
          <w:tcPr>
            <w:tcW w:w="736" w:type="pct"/>
            <w:shd w:val="clear" w:color="auto" w:fill="auto"/>
            <w:vAlign w:val="center"/>
          </w:tcPr>
          <w:p>
            <w:pPr>
              <w:widowControl/>
              <w:jc w:val="left"/>
              <w:textAlignment w:val="center"/>
              <w:rPr>
                <w:rFonts w:hint="eastAsia" w:ascii="仿宋" w:hAnsi="仿宋" w:eastAsia="仿宋" w:cs="仿宋"/>
                <w:color w:val="000000" w:themeColor="text1"/>
                <w:kern w:val="0"/>
                <w:sz w:val="22"/>
                <w:szCs w:val="22"/>
                <w:highlight w:val="none"/>
              </w:rPr>
            </w:pPr>
            <w:r>
              <w:rPr>
                <w:rFonts w:hint="eastAsia" w:ascii="仿宋" w:hAnsi="仿宋" w:eastAsia="仿宋" w:cs="仿宋"/>
                <w:sz w:val="20"/>
                <w:highlight w:val="none"/>
              </w:rPr>
              <w:t>额定工作电压：400V ，额定绝缘电压660V，额定耐受电压 1890V（1min工频），额定短时耐受电流 ≥4kA</w:t>
            </w:r>
          </w:p>
        </w:tc>
        <w:tc>
          <w:tcPr>
            <w:tcW w:w="314" w:type="pct"/>
            <w:shd w:val="clear" w:color="000000" w:fill="FFFFFF"/>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套</w:t>
            </w:r>
          </w:p>
        </w:tc>
        <w:tc>
          <w:tcPr>
            <w:tcW w:w="366" w:type="pct"/>
            <w:shd w:val="clear" w:color="000000" w:fill="FFFFFF"/>
            <w:vAlign w:val="center"/>
          </w:tcPr>
          <w:p>
            <w:pPr>
              <w:widowControl/>
              <w:ind w:firstLine="220" w:firstLineChars="100"/>
              <w:jc w:val="left"/>
              <w:textAlignment w:val="center"/>
              <w:rPr>
                <w:rFonts w:hint="default" w:ascii="仿宋" w:hAnsi="仿宋" w:eastAsia="仿宋" w:cs="仿宋"/>
                <w:color w:val="000000" w:themeColor="text1"/>
                <w:kern w:val="0"/>
                <w:sz w:val="22"/>
                <w:szCs w:val="22"/>
                <w:highlight w:val="none"/>
                <w:lang w:val="en-US" w:eastAsia="zh-CN"/>
              </w:rPr>
            </w:pPr>
            <w:r>
              <w:rPr>
                <w:rFonts w:hint="eastAsia" w:ascii="仿宋" w:hAnsi="仿宋" w:eastAsia="仿宋" w:cs="仿宋"/>
                <w:color w:val="000000" w:themeColor="text1"/>
                <w:kern w:val="0"/>
                <w:sz w:val="22"/>
                <w:szCs w:val="22"/>
                <w:highlight w:val="none"/>
                <w:lang w:val="en-US" w:eastAsia="zh-CN"/>
              </w:rPr>
              <w:t>365</w:t>
            </w:r>
          </w:p>
        </w:tc>
        <w:tc>
          <w:tcPr>
            <w:tcW w:w="388" w:type="pct"/>
            <w:vMerge w:val="restart"/>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合同签订后20日内</w:t>
            </w:r>
          </w:p>
        </w:tc>
        <w:tc>
          <w:tcPr>
            <w:tcW w:w="323" w:type="pct"/>
            <w:vMerge w:val="restart"/>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3年</w:t>
            </w:r>
          </w:p>
        </w:tc>
        <w:tc>
          <w:tcPr>
            <w:tcW w:w="407" w:type="pct"/>
            <w:vMerge w:val="restart"/>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买方指定仓库地面交货</w:t>
            </w:r>
          </w:p>
        </w:tc>
        <w:tc>
          <w:tcPr>
            <w:tcW w:w="587" w:type="pct"/>
            <w:vMerge w:val="restart"/>
            <w:shd w:val="clear" w:color="auto" w:fill="auto"/>
            <w:vAlign w:val="center"/>
          </w:tcPr>
          <w:p>
            <w:pPr>
              <w:widowControl/>
              <w:numPr>
                <w:ilvl w:val="0"/>
                <w:numId w:val="2"/>
              </w:numPr>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厂商要求：</w:t>
            </w:r>
            <w:r>
              <w:rPr>
                <w:rFonts w:hint="eastAsia" w:ascii="仿宋" w:hAnsi="仿宋" w:eastAsia="仿宋" w:cs="仿宋"/>
                <w:sz w:val="22"/>
                <w:szCs w:val="22"/>
                <w:highlight w:val="none"/>
              </w:rPr>
              <w:t>制造商或代理商</w:t>
            </w:r>
            <w:r>
              <w:rPr>
                <w:rFonts w:hint="eastAsia" w:ascii="仿宋" w:hAnsi="仿宋" w:eastAsia="仿宋" w:cs="仿宋"/>
                <w:sz w:val="22"/>
                <w:szCs w:val="22"/>
                <w:highlight w:val="none"/>
                <w:lang w:eastAsia="zh-CN"/>
              </w:rPr>
              <w:t>；</w:t>
            </w:r>
          </w:p>
          <w:p>
            <w:pPr>
              <w:pStyle w:val="2"/>
              <w:numPr>
                <w:ilvl w:val="0"/>
                <w:numId w:val="2"/>
              </w:numP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认证证书：</w:t>
            </w:r>
            <w:r>
              <w:rPr>
                <w:rFonts w:hint="eastAsia" w:ascii="仿宋" w:hAnsi="仿宋" w:eastAsia="仿宋" w:cs="仿宋"/>
                <w:kern w:val="0"/>
                <w:sz w:val="22"/>
                <w:szCs w:val="22"/>
                <w:highlight w:val="none"/>
              </w:rPr>
              <w:t>提供有效的ISO9000系列质量管理体系认证证书</w:t>
            </w:r>
            <w:r>
              <w:rPr>
                <w:rFonts w:hint="eastAsia" w:ascii="仿宋" w:hAnsi="仿宋" w:eastAsia="仿宋" w:cs="仿宋"/>
                <w:kern w:val="0"/>
                <w:sz w:val="22"/>
                <w:szCs w:val="22"/>
                <w:highlight w:val="none"/>
                <w:lang w:eastAsia="zh-CN"/>
              </w:rPr>
              <w:t>；</w:t>
            </w:r>
          </w:p>
          <w:p>
            <w:pPr>
              <w:pStyle w:val="2"/>
              <w:numPr>
                <w:ilvl w:val="0"/>
                <w:numId w:val="0"/>
              </w:numPr>
              <w:rPr>
                <w:rFonts w:hint="eastAsia" w:eastAsia="仿宋"/>
                <w:highlight w:val="none"/>
                <w:lang w:val="en-US" w:eastAsia="zh-CN"/>
              </w:rPr>
            </w:pPr>
            <w:r>
              <w:rPr>
                <w:rFonts w:hint="eastAsia" w:ascii="仿宋" w:hAnsi="仿宋" w:eastAsia="仿宋" w:cs="仿宋"/>
                <w:sz w:val="22"/>
                <w:szCs w:val="22"/>
                <w:highlight w:val="none"/>
                <w:lang w:val="en-US" w:eastAsia="zh-CN"/>
              </w:rPr>
              <w:t>3.其他：</w:t>
            </w:r>
            <w:r>
              <w:rPr>
                <w:rFonts w:hint="eastAsia" w:ascii="仿宋" w:hAnsi="仿宋" w:eastAsia="仿宋" w:cs="仿宋"/>
                <w:kern w:val="0"/>
                <w:sz w:val="22"/>
                <w:szCs w:val="22"/>
                <w:highlight w:val="none"/>
              </w:rPr>
              <w:t>需提供制造商的授权函和质保函</w:t>
            </w:r>
            <w:r>
              <w:rPr>
                <w:rFonts w:hint="eastAsia" w:ascii="仿宋" w:hAnsi="仿宋" w:eastAsia="仿宋" w:cs="仿宋"/>
                <w:kern w:val="0"/>
                <w:sz w:val="22"/>
                <w:szCs w:val="22"/>
                <w:highlight w:val="none"/>
                <w:lang w:eastAsia="zh-CN"/>
              </w:rPr>
              <w:t>。</w:t>
            </w:r>
          </w:p>
        </w:tc>
        <w:tc>
          <w:tcPr>
            <w:tcW w:w="511" w:type="pct"/>
            <w:vMerge w:val="restart"/>
            <w:shd w:val="clear" w:color="auto" w:fill="auto"/>
            <w:vAlign w:val="center"/>
          </w:tcPr>
          <w:p>
            <w:pPr>
              <w:widowControl/>
              <w:jc w:val="center"/>
              <w:rPr>
                <w:rFonts w:hint="default" w:ascii="仿宋" w:hAnsi="仿宋" w:eastAsia="仿宋" w:cs="仿宋"/>
                <w:color w:val="000000" w:themeColor="text1"/>
                <w:kern w:val="0"/>
                <w:sz w:val="22"/>
                <w:szCs w:val="22"/>
                <w:highlight w:val="none"/>
                <w:lang w:val="en-US" w:eastAsia="zh-CN"/>
              </w:rPr>
            </w:pPr>
            <w:r>
              <w:rPr>
                <w:rFonts w:hint="eastAsia" w:ascii="仿宋" w:hAnsi="仿宋" w:eastAsia="仿宋" w:cs="仿宋"/>
                <w:color w:val="000000" w:themeColor="text1"/>
                <w:kern w:val="0"/>
                <w:sz w:val="22"/>
                <w:szCs w:val="22"/>
                <w:highlight w:val="none"/>
                <w:lang w:val="en-US" w:eastAsia="zh-CN"/>
              </w:rPr>
              <w:t>业绩要求：</w:t>
            </w:r>
            <w:r>
              <w:rPr>
                <w:rFonts w:hint="eastAsia" w:ascii="仿宋" w:hAnsi="仿宋" w:eastAsia="仿宋" w:cs="仿宋"/>
                <w:kern w:val="0"/>
                <w:sz w:val="22"/>
                <w:szCs w:val="22"/>
                <w:highlight w:val="none"/>
              </w:rPr>
              <w:t>2019年1月1日起至招标公告发布之日内累计配网类产品或智能开关类产品业绩不少于200万元。注：需提供相应的合同证明文件。</w:t>
            </w:r>
          </w:p>
        </w:tc>
        <w:tc>
          <w:tcPr>
            <w:tcW w:w="460" w:type="pct"/>
            <w:shd w:val="clear" w:color="auto" w:fill="auto"/>
            <w:vAlign w:val="center"/>
          </w:tcPr>
          <w:p>
            <w:pPr>
              <w:widowControl/>
              <w:jc w:val="center"/>
              <w:rPr>
                <w:rFonts w:hint="default" w:ascii="仿宋" w:hAnsi="仿宋" w:eastAsia="仿宋" w:cs="仿宋"/>
                <w:color w:val="000000" w:themeColor="text1"/>
                <w:kern w:val="0"/>
                <w:sz w:val="22"/>
                <w:szCs w:val="22"/>
                <w:highlight w:val="none"/>
                <w:lang w:val="en-US" w:eastAsia="zh-CN"/>
              </w:rPr>
            </w:pPr>
            <w:r>
              <w:rPr>
                <w:rFonts w:hint="eastAsia" w:ascii="仿宋" w:hAnsi="仿宋" w:eastAsia="仿宋" w:cs="仿宋"/>
                <w:color w:val="000000" w:themeColor="text1"/>
                <w:kern w:val="0"/>
                <w:sz w:val="22"/>
                <w:szCs w:val="22"/>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85" w:type="pct"/>
            <w:vAlign w:val="center"/>
          </w:tcPr>
          <w:p>
            <w:pPr>
              <w:widowControl/>
              <w:jc w:val="center"/>
              <w:rPr>
                <w:rFonts w:hint="eastAsia" w:ascii="仿宋" w:hAnsi="仿宋" w:eastAsia="仿宋" w:cs="仿宋"/>
                <w:spacing w:val="-2"/>
                <w:sz w:val="22"/>
                <w:szCs w:val="21"/>
                <w:highlight w:val="none"/>
              </w:rPr>
            </w:pPr>
            <w:r>
              <w:rPr>
                <w:rFonts w:hint="eastAsia" w:ascii="仿宋" w:hAnsi="仿宋" w:eastAsia="仿宋" w:cs="仿宋"/>
                <w:spacing w:val="-2"/>
                <w:sz w:val="22"/>
                <w:szCs w:val="21"/>
                <w:highlight w:val="none"/>
              </w:rPr>
              <w:t>智能电容器装置采购项目（包二）</w:t>
            </w:r>
          </w:p>
        </w:tc>
        <w:tc>
          <w:tcPr>
            <w:tcW w:w="418" w:type="pct"/>
            <w:vAlign w:val="center"/>
          </w:tcPr>
          <w:p>
            <w:pPr>
              <w:widowControl/>
              <w:jc w:val="left"/>
              <w:textAlignment w:val="center"/>
              <w:rPr>
                <w:rFonts w:hint="eastAsia" w:ascii="仿宋" w:hAnsi="仿宋" w:eastAsia="仿宋" w:cs="仿宋"/>
                <w:spacing w:val="-2"/>
                <w:sz w:val="22"/>
                <w:szCs w:val="21"/>
                <w:highlight w:val="none"/>
              </w:rPr>
            </w:pPr>
            <w:r>
              <w:rPr>
                <w:rFonts w:hint="eastAsia" w:ascii="仿宋" w:hAnsi="仿宋" w:eastAsia="仿宋" w:cs="仿宋"/>
                <w:spacing w:val="-2"/>
                <w:sz w:val="22"/>
                <w:szCs w:val="21"/>
                <w:highlight w:val="none"/>
              </w:rPr>
              <w:t>智能电容器装置</w:t>
            </w:r>
          </w:p>
        </w:tc>
        <w:tc>
          <w:tcPr>
            <w:tcW w:w="736" w:type="pct"/>
            <w:shd w:val="clear" w:color="auto" w:fill="auto"/>
            <w:vAlign w:val="center"/>
          </w:tcPr>
          <w:p>
            <w:pPr>
              <w:widowControl/>
              <w:jc w:val="left"/>
              <w:textAlignment w:val="center"/>
              <w:rPr>
                <w:rFonts w:hint="eastAsia" w:ascii="仿宋" w:hAnsi="仿宋" w:eastAsia="仿宋" w:cs="仿宋"/>
                <w:color w:val="000000" w:themeColor="text1"/>
                <w:kern w:val="0"/>
                <w:sz w:val="22"/>
                <w:szCs w:val="22"/>
                <w:highlight w:val="none"/>
              </w:rPr>
            </w:pPr>
            <w:r>
              <w:rPr>
                <w:rFonts w:hint="eastAsia" w:ascii="仿宋" w:hAnsi="仿宋" w:eastAsia="仿宋" w:cs="仿宋"/>
                <w:sz w:val="20"/>
                <w:highlight w:val="none"/>
              </w:rPr>
              <w:t>额定工作电压：400V ，额定绝缘电压660V，额定耐受电压 1890V（1min工频），额定短时耐受电流 ≥4kA</w:t>
            </w:r>
          </w:p>
        </w:tc>
        <w:tc>
          <w:tcPr>
            <w:tcW w:w="314" w:type="pct"/>
            <w:shd w:val="clear" w:color="000000" w:fill="FFFFFF"/>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套</w:t>
            </w:r>
          </w:p>
        </w:tc>
        <w:tc>
          <w:tcPr>
            <w:tcW w:w="366" w:type="pct"/>
            <w:shd w:val="clear" w:color="000000" w:fill="FFFFFF"/>
            <w:vAlign w:val="center"/>
          </w:tcPr>
          <w:p>
            <w:pPr>
              <w:widowControl/>
              <w:ind w:firstLine="220" w:firstLineChars="100"/>
              <w:jc w:val="left"/>
              <w:textAlignment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150</w:t>
            </w:r>
          </w:p>
        </w:tc>
        <w:tc>
          <w:tcPr>
            <w:tcW w:w="388" w:type="pct"/>
            <w:vMerge w:val="continue"/>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p>
        </w:tc>
        <w:tc>
          <w:tcPr>
            <w:tcW w:w="323" w:type="pct"/>
            <w:vMerge w:val="continue"/>
            <w:vAlign w:val="center"/>
          </w:tcPr>
          <w:p>
            <w:pPr>
              <w:widowControl/>
              <w:jc w:val="center"/>
              <w:rPr>
                <w:rFonts w:hint="eastAsia" w:ascii="仿宋" w:hAnsi="仿宋" w:eastAsia="仿宋" w:cs="仿宋"/>
                <w:color w:val="000000" w:themeColor="text1"/>
                <w:kern w:val="0"/>
                <w:sz w:val="22"/>
                <w:szCs w:val="22"/>
                <w:highlight w:val="none"/>
              </w:rPr>
            </w:pPr>
          </w:p>
        </w:tc>
        <w:tc>
          <w:tcPr>
            <w:tcW w:w="407" w:type="pct"/>
            <w:vMerge w:val="continue"/>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p>
        </w:tc>
        <w:tc>
          <w:tcPr>
            <w:tcW w:w="587" w:type="pct"/>
            <w:vMerge w:val="continue"/>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p>
        </w:tc>
        <w:tc>
          <w:tcPr>
            <w:tcW w:w="511" w:type="pct"/>
            <w:vMerge w:val="continue"/>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p>
        </w:tc>
        <w:tc>
          <w:tcPr>
            <w:tcW w:w="460" w:type="pct"/>
            <w:shd w:val="clear" w:color="auto" w:fill="auto"/>
            <w:vAlign w:val="center"/>
          </w:tcPr>
          <w:p>
            <w:pPr>
              <w:widowControl/>
              <w:jc w:val="center"/>
              <w:rPr>
                <w:rFonts w:hint="default" w:ascii="仿宋" w:hAnsi="仿宋" w:eastAsia="仿宋" w:cs="仿宋"/>
                <w:color w:val="000000" w:themeColor="text1"/>
                <w:kern w:val="0"/>
                <w:sz w:val="22"/>
                <w:szCs w:val="22"/>
                <w:highlight w:val="none"/>
                <w:lang w:val="en-US" w:eastAsia="zh-CN"/>
              </w:rPr>
            </w:pPr>
            <w:r>
              <w:rPr>
                <w:rFonts w:hint="eastAsia" w:ascii="仿宋" w:hAnsi="仿宋" w:eastAsia="仿宋" w:cs="仿宋"/>
                <w:color w:val="000000" w:themeColor="text1"/>
                <w:kern w:val="0"/>
                <w:sz w:val="22"/>
                <w:szCs w:val="22"/>
                <w:highlight w:val="none"/>
                <w:lang w:val="en-US" w:eastAsia="zh-CN"/>
              </w:rPr>
              <w:t>1.3</w:t>
            </w:r>
          </w:p>
        </w:tc>
      </w:tr>
    </w:tbl>
    <w:p>
      <w:pPr>
        <w:rPr>
          <w:rFonts w:hint="eastAsia" w:ascii="仿宋" w:hAnsi="仿宋" w:eastAsia="仿宋" w:cs="仿宋"/>
          <w:sz w:val="22"/>
          <w:szCs w:val="22"/>
          <w:highlight w:val="none"/>
        </w:rPr>
      </w:pPr>
      <w:r>
        <w:rPr>
          <w:rFonts w:hint="eastAsia" w:ascii="仿宋" w:hAnsi="仿宋" w:eastAsia="仿宋" w:cs="仿宋"/>
          <w:sz w:val="22"/>
          <w:szCs w:val="22"/>
          <w:highlight w:val="none"/>
        </w:rPr>
        <w:t>具体供货不局限于上述产品。应包括上述产品相关配件，类似升级产品。</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rPr>
          <w:rFonts w:hint="eastAsia" w:ascii="仿宋" w:hAnsi="仿宋" w:eastAsia="仿宋" w:cs="仿宋"/>
          <w:sz w:val="22"/>
          <w:szCs w:val="22"/>
          <w:highlight w:val="none"/>
        </w:rPr>
      </w:pPr>
      <w:r>
        <w:rPr>
          <w:rFonts w:hint="eastAsia" w:ascii="仿宋" w:hAnsi="仿宋" w:eastAsia="仿宋" w:cs="仿宋"/>
          <w:sz w:val="22"/>
          <w:szCs w:val="22"/>
          <w:highlight w:val="none"/>
        </w:rPr>
        <w:t>2.投标文件中提供的证明材料复印件应复印清晰、可辨认且不得遮盖、涂抹，否则视为无效。</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br w:type="page"/>
      </w:r>
    </w:p>
    <w:p>
      <w:pPr>
        <w:pStyle w:val="2"/>
        <w:rPr>
          <w:rFonts w:hint="eastAsia" w:ascii="仿宋" w:hAnsi="仿宋" w:eastAsia="仿宋"/>
          <w:b/>
          <w:sz w:val="24"/>
          <w:szCs w:val="24"/>
          <w:highlight w:val="none"/>
          <w:lang w:val="en-US" w:eastAsia="zh-CN"/>
        </w:rPr>
      </w:pPr>
      <w:r>
        <w:rPr>
          <w:rFonts w:hint="eastAsia" w:ascii="仿宋" w:hAnsi="仿宋" w:eastAsia="仿宋"/>
          <w:b/>
          <w:sz w:val="24"/>
          <w:szCs w:val="24"/>
          <w:highlight w:val="none"/>
          <w:lang w:val="en-US" w:eastAsia="zh-CN"/>
        </w:rPr>
        <w:t>分标三：智能图像信息采集组件采购项目</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126"/>
        <w:gridCol w:w="1727"/>
        <w:gridCol w:w="868"/>
        <w:gridCol w:w="975"/>
        <w:gridCol w:w="1216"/>
        <w:gridCol w:w="1063"/>
        <w:gridCol w:w="1199"/>
        <w:gridCol w:w="1937"/>
        <w:gridCol w:w="159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7"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项目名称</w:t>
            </w:r>
          </w:p>
        </w:tc>
        <w:tc>
          <w:tcPr>
            <w:tcW w:w="397"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物资名称</w:t>
            </w:r>
          </w:p>
        </w:tc>
        <w:tc>
          <w:tcPr>
            <w:tcW w:w="609"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主要技术要求</w:t>
            </w:r>
          </w:p>
        </w:tc>
        <w:tc>
          <w:tcPr>
            <w:tcW w:w="306"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单位</w:t>
            </w:r>
          </w:p>
        </w:tc>
        <w:tc>
          <w:tcPr>
            <w:tcW w:w="344"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数量</w:t>
            </w:r>
          </w:p>
        </w:tc>
        <w:tc>
          <w:tcPr>
            <w:tcW w:w="429"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交货</w:t>
            </w:r>
          </w:p>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日期</w:t>
            </w:r>
          </w:p>
        </w:tc>
        <w:tc>
          <w:tcPr>
            <w:tcW w:w="375"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质保期</w:t>
            </w:r>
          </w:p>
        </w:tc>
        <w:tc>
          <w:tcPr>
            <w:tcW w:w="423"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交货地点</w:t>
            </w:r>
          </w:p>
        </w:tc>
        <w:tc>
          <w:tcPr>
            <w:tcW w:w="683"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kern w:val="0"/>
                <w:sz w:val="22"/>
                <w:szCs w:val="22"/>
                <w:highlight w:val="none"/>
                <w:lang w:val="en-US" w:eastAsia="zh-CN"/>
              </w:rPr>
              <w:t>专用资质要求</w:t>
            </w:r>
          </w:p>
        </w:tc>
        <w:tc>
          <w:tcPr>
            <w:tcW w:w="561"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kern w:val="0"/>
                <w:sz w:val="22"/>
                <w:szCs w:val="22"/>
                <w:highlight w:val="none"/>
                <w:lang w:val="en-US" w:eastAsia="zh-CN"/>
              </w:rPr>
              <w:t>专用业绩要求</w:t>
            </w:r>
          </w:p>
        </w:tc>
        <w:tc>
          <w:tcPr>
            <w:tcW w:w="431"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437" w:type="pct"/>
            <w:vAlign w:val="center"/>
          </w:tcPr>
          <w:p>
            <w:pPr>
              <w:widowControl/>
              <w:jc w:val="center"/>
              <w:rPr>
                <w:rFonts w:hint="eastAsia" w:ascii="仿宋" w:hAnsi="仿宋" w:eastAsia="仿宋" w:cs="仿宋"/>
                <w:color w:val="000000" w:themeColor="text1"/>
                <w:kern w:val="0"/>
                <w:sz w:val="22"/>
                <w:szCs w:val="21"/>
                <w:highlight w:val="none"/>
              </w:rPr>
            </w:pPr>
            <w:r>
              <w:rPr>
                <w:rFonts w:hint="eastAsia" w:ascii="仿宋" w:hAnsi="仿宋" w:eastAsia="仿宋" w:cs="仿宋"/>
                <w:spacing w:val="-2"/>
                <w:sz w:val="22"/>
                <w:szCs w:val="21"/>
                <w:highlight w:val="none"/>
              </w:rPr>
              <w:t>智能图像信息采集组件采购项目（包一）</w:t>
            </w:r>
          </w:p>
        </w:tc>
        <w:tc>
          <w:tcPr>
            <w:tcW w:w="397" w:type="pct"/>
            <w:vAlign w:val="center"/>
          </w:tcPr>
          <w:p>
            <w:pPr>
              <w:widowControl/>
              <w:jc w:val="left"/>
              <w:textAlignment w:val="center"/>
              <w:rPr>
                <w:rFonts w:hint="eastAsia" w:ascii="仿宋" w:hAnsi="仿宋" w:eastAsia="仿宋" w:cs="仿宋"/>
                <w:color w:val="000000" w:themeColor="text1"/>
                <w:kern w:val="0"/>
                <w:sz w:val="22"/>
                <w:szCs w:val="21"/>
                <w:highlight w:val="none"/>
              </w:rPr>
            </w:pPr>
            <w:r>
              <w:rPr>
                <w:rFonts w:hint="eastAsia" w:ascii="仿宋" w:hAnsi="仿宋" w:eastAsia="仿宋" w:cs="仿宋"/>
                <w:spacing w:val="-2"/>
                <w:sz w:val="22"/>
                <w:szCs w:val="21"/>
                <w:highlight w:val="none"/>
              </w:rPr>
              <w:t>智能图像信息采集组件</w:t>
            </w:r>
          </w:p>
        </w:tc>
        <w:tc>
          <w:tcPr>
            <w:tcW w:w="609" w:type="pct"/>
            <w:shd w:val="clear" w:color="auto" w:fill="auto"/>
            <w:vAlign w:val="center"/>
          </w:tcPr>
          <w:p>
            <w:pPr>
              <w:widowControl/>
              <w:jc w:val="left"/>
              <w:textAlignment w:val="center"/>
              <w:rPr>
                <w:rFonts w:hint="eastAsia" w:ascii="仿宋" w:hAnsi="仿宋" w:eastAsia="仿宋" w:cs="仿宋"/>
                <w:color w:val="000000" w:themeColor="text1"/>
                <w:kern w:val="0"/>
                <w:sz w:val="22"/>
                <w:szCs w:val="22"/>
                <w:highlight w:val="none"/>
              </w:rPr>
            </w:pPr>
            <w:r>
              <w:rPr>
                <w:rFonts w:hint="eastAsia" w:ascii="仿宋" w:hAnsi="仿宋" w:eastAsia="仿宋" w:cs="仿宋"/>
                <w:kern w:val="0"/>
                <w:szCs w:val="21"/>
                <w:highlight w:val="none"/>
              </w:rPr>
              <w:t>云台摄像头应包含高清摄像头和夜视两个摄像头，用于对输电线路通道进行24小时定向监拍、具备AI识别功能等。</w:t>
            </w:r>
          </w:p>
        </w:tc>
        <w:tc>
          <w:tcPr>
            <w:tcW w:w="306" w:type="pct"/>
            <w:shd w:val="clear" w:color="000000" w:fill="FFFFFF"/>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套</w:t>
            </w:r>
          </w:p>
        </w:tc>
        <w:tc>
          <w:tcPr>
            <w:tcW w:w="344" w:type="pct"/>
            <w:shd w:val="clear" w:color="000000" w:fill="FFFFFF"/>
            <w:vAlign w:val="center"/>
          </w:tcPr>
          <w:p>
            <w:pPr>
              <w:widowControl/>
              <w:ind w:firstLine="220" w:firstLineChars="100"/>
              <w:jc w:val="left"/>
              <w:textAlignment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442</w:t>
            </w:r>
          </w:p>
        </w:tc>
        <w:tc>
          <w:tcPr>
            <w:tcW w:w="429" w:type="pct"/>
            <w:vMerge w:val="restart"/>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合同签订后20日内</w:t>
            </w:r>
          </w:p>
        </w:tc>
        <w:tc>
          <w:tcPr>
            <w:tcW w:w="375" w:type="pct"/>
            <w:vMerge w:val="restart"/>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3年</w:t>
            </w:r>
          </w:p>
        </w:tc>
        <w:tc>
          <w:tcPr>
            <w:tcW w:w="423" w:type="pct"/>
            <w:vMerge w:val="restart"/>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买方指定仓库地面交货</w:t>
            </w:r>
          </w:p>
        </w:tc>
        <w:tc>
          <w:tcPr>
            <w:tcW w:w="683" w:type="pct"/>
            <w:vMerge w:val="restart"/>
            <w:shd w:val="clear" w:color="auto" w:fill="auto"/>
            <w:vAlign w:val="center"/>
          </w:tcPr>
          <w:p>
            <w:pPr>
              <w:widowControl/>
              <w:numPr>
                <w:ilvl w:val="0"/>
                <w:numId w:val="3"/>
              </w:numPr>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厂商要求：</w:t>
            </w:r>
            <w:r>
              <w:rPr>
                <w:rFonts w:hint="eastAsia" w:ascii="仿宋" w:hAnsi="仿宋" w:eastAsia="仿宋" w:cs="仿宋"/>
                <w:sz w:val="22"/>
                <w:szCs w:val="22"/>
                <w:highlight w:val="none"/>
              </w:rPr>
              <w:t>制造商</w:t>
            </w:r>
            <w:r>
              <w:rPr>
                <w:rFonts w:hint="eastAsia" w:ascii="仿宋" w:hAnsi="仿宋" w:eastAsia="仿宋" w:cs="仿宋"/>
                <w:sz w:val="22"/>
                <w:szCs w:val="22"/>
                <w:highlight w:val="none"/>
                <w:lang w:eastAsia="zh-CN"/>
              </w:rPr>
              <w:t>；</w:t>
            </w:r>
          </w:p>
          <w:p>
            <w:pPr>
              <w:pStyle w:val="2"/>
              <w:numPr>
                <w:ilvl w:val="0"/>
                <w:numId w:val="3"/>
              </w:numP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认证证书：</w:t>
            </w:r>
            <w:r>
              <w:rPr>
                <w:rFonts w:hint="eastAsia" w:ascii="仿宋" w:hAnsi="仿宋" w:eastAsia="仿宋" w:cs="仿宋"/>
                <w:kern w:val="0"/>
                <w:sz w:val="22"/>
                <w:szCs w:val="22"/>
                <w:highlight w:val="none"/>
              </w:rPr>
              <w:t>提供有效的ISO9000系列质量管理体系认证证书</w:t>
            </w:r>
            <w:r>
              <w:rPr>
                <w:rFonts w:hint="eastAsia" w:ascii="仿宋" w:hAnsi="仿宋" w:eastAsia="仿宋" w:cs="仿宋"/>
                <w:kern w:val="0"/>
                <w:sz w:val="22"/>
                <w:szCs w:val="22"/>
                <w:highlight w:val="none"/>
                <w:lang w:eastAsia="zh-CN"/>
              </w:rPr>
              <w:t>；</w:t>
            </w:r>
          </w:p>
          <w:p>
            <w:pPr>
              <w:pStyle w:val="2"/>
              <w:numPr>
                <w:ilvl w:val="0"/>
                <w:numId w:val="3"/>
              </w:numPr>
              <w:rPr>
                <w:rFonts w:hint="eastAsia" w:ascii="仿宋" w:hAnsi="仿宋" w:eastAsia="仿宋" w:cs="仿宋"/>
                <w:sz w:val="22"/>
                <w:szCs w:val="22"/>
                <w:highlight w:val="none"/>
                <w:lang w:val="en-US" w:eastAsia="zh-CN"/>
              </w:rPr>
            </w:pPr>
            <w:r>
              <w:rPr>
                <w:rFonts w:hint="eastAsia" w:ascii="仿宋" w:hAnsi="仿宋" w:eastAsia="仿宋" w:cs="仿宋"/>
                <w:b w:val="0"/>
                <w:bCs w:val="0"/>
                <w:color w:val="000000"/>
                <w:kern w:val="0"/>
                <w:sz w:val="22"/>
                <w:szCs w:val="22"/>
                <w:highlight w:val="none"/>
              </w:rPr>
              <w:t>产品型式试验报告或检测报告或鉴定报告</w:t>
            </w:r>
            <w:r>
              <w:rPr>
                <w:rFonts w:hint="eastAsia" w:ascii="仿宋" w:hAnsi="仿宋" w:eastAsia="仿宋" w:cs="仿宋"/>
                <w:b w:val="0"/>
                <w:bCs w:val="0"/>
                <w:color w:val="000000"/>
                <w:kern w:val="0"/>
                <w:sz w:val="22"/>
                <w:szCs w:val="22"/>
                <w:highlight w:val="none"/>
                <w:lang w:eastAsia="zh-CN"/>
              </w:rPr>
              <w:t>：</w:t>
            </w:r>
            <w:r>
              <w:rPr>
                <w:rFonts w:hint="eastAsia" w:ascii="仿宋" w:hAnsi="仿宋" w:eastAsia="仿宋" w:cs="仿宋"/>
                <w:kern w:val="0"/>
                <w:sz w:val="22"/>
                <w:szCs w:val="22"/>
                <w:highlight w:val="none"/>
              </w:rPr>
              <w:t>提供国家认可第三方权威检测机构的有效的检测报告</w:t>
            </w:r>
            <w:r>
              <w:rPr>
                <w:rFonts w:hint="eastAsia" w:ascii="仿宋" w:hAnsi="仿宋" w:eastAsia="仿宋" w:cs="仿宋"/>
                <w:kern w:val="0"/>
                <w:sz w:val="22"/>
                <w:szCs w:val="22"/>
                <w:highlight w:val="none"/>
                <w:lang w:eastAsia="zh-CN"/>
              </w:rPr>
              <w:t>。</w:t>
            </w:r>
          </w:p>
        </w:tc>
        <w:tc>
          <w:tcPr>
            <w:tcW w:w="561" w:type="pct"/>
            <w:vMerge w:val="restart"/>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kern w:val="0"/>
                <w:sz w:val="22"/>
                <w:szCs w:val="22"/>
                <w:highlight w:val="none"/>
                <w:lang w:val="en-US" w:eastAsia="zh-CN"/>
              </w:rPr>
              <w:t>业绩要求：</w:t>
            </w:r>
            <w:r>
              <w:rPr>
                <w:rFonts w:hint="eastAsia" w:ascii="仿宋" w:hAnsi="仿宋" w:eastAsia="仿宋" w:cs="仿宋"/>
                <w:kern w:val="0"/>
                <w:sz w:val="22"/>
                <w:szCs w:val="22"/>
                <w:highlight w:val="none"/>
              </w:rPr>
              <w:t>2019年1月1日起至招标公告发布之日内具</w:t>
            </w:r>
            <w:r>
              <w:rPr>
                <w:rFonts w:hint="eastAsia" w:ascii="仿宋" w:hAnsi="仿宋" w:eastAsia="仿宋" w:cs="仿宋"/>
                <w:color w:val="000000" w:themeColor="text1"/>
                <w:kern w:val="0"/>
                <w:sz w:val="22"/>
                <w:szCs w:val="22"/>
                <w:highlight w:val="none"/>
              </w:rPr>
              <w:t>图像或视频在线监测装置800套，</w:t>
            </w:r>
            <w:r>
              <w:rPr>
                <w:rFonts w:hint="eastAsia" w:ascii="仿宋" w:hAnsi="仿宋" w:eastAsia="仿宋" w:cs="仿宋"/>
                <w:color w:val="000000" w:themeColor="text1"/>
                <w:kern w:val="0"/>
                <w:sz w:val="22"/>
                <w:szCs w:val="22"/>
                <w:highlight w:val="none"/>
                <w:lang w:val="en-US" w:eastAsia="zh-CN"/>
              </w:rPr>
              <w:t>或者具有</w:t>
            </w:r>
            <w:r>
              <w:rPr>
                <w:rFonts w:hint="eastAsia" w:ascii="仿宋" w:hAnsi="仿宋" w:eastAsia="仿宋" w:cs="仿宋"/>
                <w:color w:val="000000" w:themeColor="text1"/>
                <w:kern w:val="0"/>
                <w:sz w:val="22"/>
                <w:szCs w:val="22"/>
                <w:highlight w:val="none"/>
              </w:rPr>
              <w:t>图像或视频在线监测装置1200万元</w:t>
            </w:r>
            <w:r>
              <w:rPr>
                <w:rFonts w:hint="eastAsia" w:ascii="仿宋" w:hAnsi="仿宋" w:eastAsia="仿宋" w:cs="仿宋"/>
                <w:kern w:val="0"/>
                <w:sz w:val="22"/>
                <w:szCs w:val="22"/>
                <w:highlight w:val="none"/>
              </w:rPr>
              <w:t>。注：需提供相应的合同证明文件。</w:t>
            </w:r>
          </w:p>
        </w:tc>
        <w:tc>
          <w:tcPr>
            <w:tcW w:w="431" w:type="pct"/>
            <w:shd w:val="clear" w:color="auto" w:fill="auto"/>
            <w:vAlign w:val="center"/>
          </w:tcPr>
          <w:p>
            <w:pPr>
              <w:widowControl/>
              <w:jc w:val="center"/>
              <w:rPr>
                <w:rFonts w:hint="default" w:ascii="仿宋" w:hAnsi="仿宋" w:eastAsia="仿宋" w:cs="仿宋"/>
                <w:color w:val="000000" w:themeColor="text1"/>
                <w:kern w:val="0"/>
                <w:sz w:val="22"/>
                <w:szCs w:val="22"/>
                <w:highlight w:val="none"/>
                <w:lang w:val="en-US" w:eastAsia="zh-CN"/>
              </w:rPr>
            </w:pPr>
            <w:r>
              <w:rPr>
                <w:rFonts w:hint="eastAsia" w:ascii="仿宋" w:hAnsi="仿宋" w:eastAsia="仿宋" w:cs="仿宋"/>
                <w:color w:val="000000" w:themeColor="text1"/>
                <w:kern w:val="0"/>
                <w:sz w:val="22"/>
                <w:szCs w:val="22"/>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37" w:type="pct"/>
            <w:vAlign w:val="center"/>
          </w:tcPr>
          <w:p>
            <w:pPr>
              <w:widowControl/>
              <w:jc w:val="center"/>
              <w:rPr>
                <w:rFonts w:hint="eastAsia" w:ascii="仿宋" w:hAnsi="仿宋" w:eastAsia="仿宋" w:cs="仿宋"/>
                <w:spacing w:val="-2"/>
                <w:sz w:val="22"/>
                <w:szCs w:val="21"/>
                <w:highlight w:val="none"/>
              </w:rPr>
            </w:pPr>
            <w:r>
              <w:rPr>
                <w:rFonts w:hint="eastAsia" w:ascii="仿宋" w:hAnsi="仿宋" w:eastAsia="仿宋" w:cs="仿宋"/>
                <w:spacing w:val="-2"/>
                <w:sz w:val="22"/>
                <w:szCs w:val="21"/>
                <w:highlight w:val="none"/>
              </w:rPr>
              <w:t>智能图像信息采集组件采购项目（包二）</w:t>
            </w:r>
          </w:p>
        </w:tc>
        <w:tc>
          <w:tcPr>
            <w:tcW w:w="397" w:type="pct"/>
            <w:vAlign w:val="center"/>
          </w:tcPr>
          <w:p>
            <w:pPr>
              <w:widowControl/>
              <w:jc w:val="left"/>
              <w:textAlignment w:val="center"/>
              <w:rPr>
                <w:rFonts w:hint="eastAsia" w:ascii="仿宋" w:hAnsi="仿宋" w:eastAsia="仿宋" w:cs="仿宋"/>
                <w:spacing w:val="-2"/>
                <w:sz w:val="22"/>
                <w:szCs w:val="21"/>
                <w:highlight w:val="none"/>
              </w:rPr>
            </w:pPr>
            <w:r>
              <w:rPr>
                <w:rFonts w:hint="eastAsia" w:ascii="仿宋" w:hAnsi="仿宋" w:eastAsia="仿宋" w:cs="仿宋"/>
                <w:spacing w:val="-2"/>
                <w:sz w:val="22"/>
                <w:szCs w:val="21"/>
                <w:highlight w:val="none"/>
              </w:rPr>
              <w:t>智能图像信息采集组件</w:t>
            </w:r>
          </w:p>
        </w:tc>
        <w:tc>
          <w:tcPr>
            <w:tcW w:w="609" w:type="pct"/>
            <w:shd w:val="clear" w:color="auto" w:fill="auto"/>
            <w:vAlign w:val="center"/>
          </w:tcPr>
          <w:p>
            <w:pPr>
              <w:widowControl/>
              <w:jc w:val="left"/>
              <w:textAlignment w:val="center"/>
              <w:rPr>
                <w:rFonts w:hint="eastAsia" w:ascii="仿宋" w:hAnsi="仿宋" w:eastAsia="仿宋" w:cs="仿宋"/>
                <w:color w:val="000000" w:themeColor="text1"/>
                <w:kern w:val="0"/>
                <w:sz w:val="22"/>
                <w:szCs w:val="22"/>
                <w:highlight w:val="none"/>
              </w:rPr>
            </w:pPr>
            <w:r>
              <w:rPr>
                <w:rFonts w:hint="eastAsia" w:ascii="仿宋" w:hAnsi="仿宋" w:eastAsia="仿宋" w:cs="仿宋"/>
                <w:kern w:val="0"/>
                <w:szCs w:val="21"/>
                <w:highlight w:val="none"/>
              </w:rPr>
              <w:t>云台摄像头应包含高清摄像头和夜视两个摄像头，用于对输电线路通道进行24小时定向监拍、具备AI识别功能等。</w:t>
            </w:r>
          </w:p>
        </w:tc>
        <w:tc>
          <w:tcPr>
            <w:tcW w:w="306" w:type="pct"/>
            <w:shd w:val="clear" w:color="000000" w:fill="FFFFFF"/>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套</w:t>
            </w:r>
          </w:p>
        </w:tc>
        <w:tc>
          <w:tcPr>
            <w:tcW w:w="344" w:type="pct"/>
            <w:shd w:val="clear" w:color="000000" w:fill="FFFFFF"/>
            <w:vAlign w:val="center"/>
          </w:tcPr>
          <w:p>
            <w:pPr>
              <w:widowControl/>
              <w:ind w:firstLine="220" w:firstLineChars="100"/>
              <w:jc w:val="left"/>
              <w:textAlignment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295</w:t>
            </w:r>
          </w:p>
        </w:tc>
        <w:tc>
          <w:tcPr>
            <w:tcW w:w="429" w:type="pct"/>
            <w:vMerge w:val="continue"/>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p>
        </w:tc>
        <w:tc>
          <w:tcPr>
            <w:tcW w:w="375" w:type="pct"/>
            <w:vMerge w:val="continue"/>
            <w:vAlign w:val="center"/>
          </w:tcPr>
          <w:p>
            <w:pPr>
              <w:widowControl/>
              <w:jc w:val="center"/>
              <w:rPr>
                <w:rFonts w:hint="eastAsia" w:ascii="仿宋" w:hAnsi="仿宋" w:eastAsia="仿宋" w:cs="仿宋"/>
                <w:color w:val="000000" w:themeColor="text1"/>
                <w:kern w:val="0"/>
                <w:sz w:val="22"/>
                <w:szCs w:val="22"/>
                <w:highlight w:val="none"/>
              </w:rPr>
            </w:pPr>
          </w:p>
        </w:tc>
        <w:tc>
          <w:tcPr>
            <w:tcW w:w="423" w:type="pct"/>
            <w:vMerge w:val="continue"/>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p>
        </w:tc>
        <w:tc>
          <w:tcPr>
            <w:tcW w:w="683" w:type="pct"/>
            <w:vMerge w:val="continue"/>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p>
        </w:tc>
        <w:tc>
          <w:tcPr>
            <w:tcW w:w="561" w:type="pct"/>
            <w:vMerge w:val="continue"/>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p>
        </w:tc>
        <w:tc>
          <w:tcPr>
            <w:tcW w:w="431" w:type="pct"/>
            <w:shd w:val="clear" w:color="auto" w:fill="auto"/>
            <w:vAlign w:val="center"/>
          </w:tcPr>
          <w:p>
            <w:pPr>
              <w:widowControl/>
              <w:jc w:val="center"/>
              <w:rPr>
                <w:rFonts w:hint="default" w:ascii="仿宋" w:hAnsi="仿宋" w:eastAsia="仿宋" w:cs="仿宋"/>
                <w:color w:val="000000" w:themeColor="text1"/>
                <w:kern w:val="0"/>
                <w:sz w:val="22"/>
                <w:szCs w:val="22"/>
                <w:highlight w:val="none"/>
                <w:lang w:val="en-US" w:eastAsia="zh-CN"/>
              </w:rPr>
            </w:pPr>
            <w:r>
              <w:rPr>
                <w:rFonts w:hint="eastAsia" w:ascii="仿宋" w:hAnsi="仿宋" w:eastAsia="仿宋" w:cs="仿宋"/>
                <w:color w:val="000000" w:themeColor="text1"/>
                <w:kern w:val="0"/>
                <w:sz w:val="22"/>
                <w:szCs w:val="22"/>
                <w:highlight w:val="none"/>
                <w:lang w:val="en-US" w:eastAsia="zh-CN"/>
              </w:rPr>
              <w:t>4.4</w:t>
            </w:r>
          </w:p>
        </w:tc>
      </w:tr>
    </w:tbl>
    <w:p>
      <w:pPr>
        <w:rPr>
          <w:rFonts w:hint="eastAsia" w:ascii="仿宋" w:hAnsi="仿宋" w:eastAsia="仿宋" w:cs="仿宋"/>
          <w:sz w:val="22"/>
          <w:szCs w:val="22"/>
          <w:highlight w:val="none"/>
        </w:rPr>
      </w:pPr>
      <w:r>
        <w:rPr>
          <w:rFonts w:hint="eastAsia" w:ascii="仿宋" w:hAnsi="仿宋" w:eastAsia="仿宋" w:cs="仿宋"/>
          <w:sz w:val="22"/>
          <w:szCs w:val="22"/>
          <w:highlight w:val="none"/>
        </w:rPr>
        <w:t>具体供货不局限于上述产品。应包括上述产品相关配件，类似升级产品。</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highlight w:val="none"/>
        </w:rPr>
      </w:pPr>
      <w:r>
        <w:rPr>
          <w:rFonts w:hint="eastAsia" w:ascii="仿宋" w:hAnsi="仿宋" w:eastAsia="仿宋" w:cs="仿宋"/>
          <w:sz w:val="22"/>
          <w:szCs w:val="22"/>
          <w:highlight w:val="none"/>
        </w:rPr>
        <w:t>2.投标文件中提供的证明材料复印件应复印清晰、可辨认且不得遮盖、涂抹，否则视为无效。</w:t>
      </w:r>
    </w:p>
    <w:p>
      <w:pPr>
        <w:pStyle w:val="2"/>
        <w:rPr>
          <w:rFonts w:hint="eastAsia" w:ascii="仿宋" w:hAnsi="仿宋" w:eastAsia="仿宋"/>
          <w:b/>
          <w:sz w:val="24"/>
          <w:szCs w:val="24"/>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4B5E8"/>
    <w:multiLevelType w:val="singleLevel"/>
    <w:tmpl w:val="F034B5E8"/>
    <w:lvl w:ilvl="0" w:tentative="0">
      <w:start w:val="1"/>
      <w:numFmt w:val="decimal"/>
      <w:lvlText w:val="%1."/>
      <w:lvlJc w:val="left"/>
      <w:pPr>
        <w:tabs>
          <w:tab w:val="left" w:pos="312"/>
        </w:tabs>
      </w:pPr>
    </w:lvl>
  </w:abstractNum>
  <w:abstractNum w:abstractNumId="1">
    <w:nsid w:val="FFF77A8E"/>
    <w:multiLevelType w:val="singleLevel"/>
    <w:tmpl w:val="FFF77A8E"/>
    <w:lvl w:ilvl="0" w:tentative="0">
      <w:start w:val="1"/>
      <w:numFmt w:val="decimal"/>
      <w:lvlText w:val="%1."/>
      <w:lvlJc w:val="left"/>
      <w:pPr>
        <w:tabs>
          <w:tab w:val="left" w:pos="312"/>
        </w:tabs>
      </w:pPr>
    </w:lvl>
  </w:abstractNum>
  <w:abstractNum w:abstractNumId="2">
    <w:nsid w:val="1671DD3F"/>
    <w:multiLevelType w:val="singleLevel"/>
    <w:tmpl w:val="1671DD3F"/>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xYzFmYzY4ZmRmN2ZiNWEzZWI0MjIyZmU3ODRmODQ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10676C4"/>
    <w:rsid w:val="0373220A"/>
    <w:rsid w:val="042913CB"/>
    <w:rsid w:val="043B10FF"/>
    <w:rsid w:val="04FC416D"/>
    <w:rsid w:val="06816373"/>
    <w:rsid w:val="086C7AD9"/>
    <w:rsid w:val="0876413A"/>
    <w:rsid w:val="08912845"/>
    <w:rsid w:val="089F22C8"/>
    <w:rsid w:val="0906460D"/>
    <w:rsid w:val="09981FC5"/>
    <w:rsid w:val="09E04429"/>
    <w:rsid w:val="0A3001E0"/>
    <w:rsid w:val="0BC04CF3"/>
    <w:rsid w:val="0CC2522B"/>
    <w:rsid w:val="0CDB468D"/>
    <w:rsid w:val="0DB95E90"/>
    <w:rsid w:val="0EA12E42"/>
    <w:rsid w:val="0F2134B8"/>
    <w:rsid w:val="0F853369"/>
    <w:rsid w:val="0FB1516E"/>
    <w:rsid w:val="10FC5772"/>
    <w:rsid w:val="11FC0675"/>
    <w:rsid w:val="146D2DFE"/>
    <w:rsid w:val="14EE61CB"/>
    <w:rsid w:val="16504596"/>
    <w:rsid w:val="166718DF"/>
    <w:rsid w:val="167F68EE"/>
    <w:rsid w:val="169A6592"/>
    <w:rsid w:val="183F7C42"/>
    <w:rsid w:val="18D04F26"/>
    <w:rsid w:val="19F57C86"/>
    <w:rsid w:val="1B224D55"/>
    <w:rsid w:val="1B3B1EBB"/>
    <w:rsid w:val="1BCA56F4"/>
    <w:rsid w:val="1BD229BC"/>
    <w:rsid w:val="1C510C82"/>
    <w:rsid w:val="1D514BA0"/>
    <w:rsid w:val="1EF10925"/>
    <w:rsid w:val="1F3D1E63"/>
    <w:rsid w:val="1FB146D7"/>
    <w:rsid w:val="20142DFA"/>
    <w:rsid w:val="203577BE"/>
    <w:rsid w:val="20373F93"/>
    <w:rsid w:val="20CC5161"/>
    <w:rsid w:val="22D20AD3"/>
    <w:rsid w:val="25C44658"/>
    <w:rsid w:val="26C9733C"/>
    <w:rsid w:val="26D04D02"/>
    <w:rsid w:val="273F3AA6"/>
    <w:rsid w:val="274A6465"/>
    <w:rsid w:val="27BF14E5"/>
    <w:rsid w:val="27E6353A"/>
    <w:rsid w:val="283F1CD8"/>
    <w:rsid w:val="2894561A"/>
    <w:rsid w:val="2910361F"/>
    <w:rsid w:val="29E71C19"/>
    <w:rsid w:val="2B7E4049"/>
    <w:rsid w:val="2C5C438C"/>
    <w:rsid w:val="2D1A547B"/>
    <w:rsid w:val="2FEA7F23"/>
    <w:rsid w:val="308B1E37"/>
    <w:rsid w:val="31BA0B13"/>
    <w:rsid w:val="32061D68"/>
    <w:rsid w:val="32580053"/>
    <w:rsid w:val="32D57EA5"/>
    <w:rsid w:val="32F0076D"/>
    <w:rsid w:val="32F60393"/>
    <w:rsid w:val="33114C55"/>
    <w:rsid w:val="344E7D48"/>
    <w:rsid w:val="34930017"/>
    <w:rsid w:val="35E875DE"/>
    <w:rsid w:val="364D41F6"/>
    <w:rsid w:val="36A81F19"/>
    <w:rsid w:val="36CA60B6"/>
    <w:rsid w:val="36D60A9D"/>
    <w:rsid w:val="3790383E"/>
    <w:rsid w:val="37AF7C77"/>
    <w:rsid w:val="38B81CA1"/>
    <w:rsid w:val="3A910FF4"/>
    <w:rsid w:val="3ABB128A"/>
    <w:rsid w:val="3B0E674D"/>
    <w:rsid w:val="3B1F79D9"/>
    <w:rsid w:val="3C4E257E"/>
    <w:rsid w:val="3CB74DA4"/>
    <w:rsid w:val="3CC36B3B"/>
    <w:rsid w:val="3CCF6B42"/>
    <w:rsid w:val="3D9E4B60"/>
    <w:rsid w:val="3DE90CA8"/>
    <w:rsid w:val="3FB31195"/>
    <w:rsid w:val="40093884"/>
    <w:rsid w:val="40583EC3"/>
    <w:rsid w:val="405979E4"/>
    <w:rsid w:val="416B26FA"/>
    <w:rsid w:val="42CE4911"/>
    <w:rsid w:val="439E6864"/>
    <w:rsid w:val="43E01DD0"/>
    <w:rsid w:val="446245CF"/>
    <w:rsid w:val="44AF5CA8"/>
    <w:rsid w:val="44F464B6"/>
    <w:rsid w:val="455B308D"/>
    <w:rsid w:val="464B5DCF"/>
    <w:rsid w:val="470E0D4D"/>
    <w:rsid w:val="476A5954"/>
    <w:rsid w:val="476D64A6"/>
    <w:rsid w:val="477A6E15"/>
    <w:rsid w:val="48256D81"/>
    <w:rsid w:val="494C2758"/>
    <w:rsid w:val="49721EC3"/>
    <w:rsid w:val="49A858B7"/>
    <w:rsid w:val="4A87279D"/>
    <w:rsid w:val="4AB16FF2"/>
    <w:rsid w:val="4B567869"/>
    <w:rsid w:val="4BDB43AD"/>
    <w:rsid w:val="4D444125"/>
    <w:rsid w:val="4DD54703"/>
    <w:rsid w:val="4E0711EB"/>
    <w:rsid w:val="507846AA"/>
    <w:rsid w:val="50970A38"/>
    <w:rsid w:val="50C8299F"/>
    <w:rsid w:val="51B0110A"/>
    <w:rsid w:val="52513C34"/>
    <w:rsid w:val="53511291"/>
    <w:rsid w:val="53791460"/>
    <w:rsid w:val="54216585"/>
    <w:rsid w:val="54E95C72"/>
    <w:rsid w:val="55326F81"/>
    <w:rsid w:val="55656F9E"/>
    <w:rsid w:val="557F4DE1"/>
    <w:rsid w:val="55A579A1"/>
    <w:rsid w:val="55F54C7D"/>
    <w:rsid w:val="568B6C91"/>
    <w:rsid w:val="56A47A0A"/>
    <w:rsid w:val="57857FF7"/>
    <w:rsid w:val="58765B48"/>
    <w:rsid w:val="5A3033EE"/>
    <w:rsid w:val="5AC040F1"/>
    <w:rsid w:val="5C263591"/>
    <w:rsid w:val="5C3E77E9"/>
    <w:rsid w:val="5DA22CDF"/>
    <w:rsid w:val="5EC86D9B"/>
    <w:rsid w:val="5F9C524B"/>
    <w:rsid w:val="5FF27BF4"/>
    <w:rsid w:val="60A05C01"/>
    <w:rsid w:val="62922A0B"/>
    <w:rsid w:val="632B03E5"/>
    <w:rsid w:val="633B3238"/>
    <w:rsid w:val="63400718"/>
    <w:rsid w:val="65870405"/>
    <w:rsid w:val="676906D7"/>
    <w:rsid w:val="689016F8"/>
    <w:rsid w:val="692913FD"/>
    <w:rsid w:val="69481F1D"/>
    <w:rsid w:val="6B0033F1"/>
    <w:rsid w:val="6B6E095E"/>
    <w:rsid w:val="6CF1193D"/>
    <w:rsid w:val="6E02774C"/>
    <w:rsid w:val="6E1718FD"/>
    <w:rsid w:val="6E4951F3"/>
    <w:rsid w:val="6F01698A"/>
    <w:rsid w:val="6F654A89"/>
    <w:rsid w:val="7014228B"/>
    <w:rsid w:val="702D53B9"/>
    <w:rsid w:val="703525D6"/>
    <w:rsid w:val="70801449"/>
    <w:rsid w:val="71500A63"/>
    <w:rsid w:val="720F7FD6"/>
    <w:rsid w:val="735E7233"/>
    <w:rsid w:val="73C31078"/>
    <w:rsid w:val="75FF703D"/>
    <w:rsid w:val="768176EC"/>
    <w:rsid w:val="76861E4C"/>
    <w:rsid w:val="77F03460"/>
    <w:rsid w:val="78305C20"/>
    <w:rsid w:val="786E1F54"/>
    <w:rsid w:val="78E00C4B"/>
    <w:rsid w:val="79285B16"/>
    <w:rsid w:val="7A387BE2"/>
    <w:rsid w:val="7AF431F7"/>
    <w:rsid w:val="7B3665D4"/>
    <w:rsid w:val="7B3A67BA"/>
    <w:rsid w:val="7C071D5E"/>
    <w:rsid w:val="7C1E0984"/>
    <w:rsid w:val="7CEB7909"/>
    <w:rsid w:val="7D0A606C"/>
    <w:rsid w:val="7DF050B2"/>
    <w:rsid w:val="7EC421EB"/>
    <w:rsid w:val="7EE54684"/>
    <w:rsid w:val="7F7218CD"/>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6"/>
    <w:qFormat/>
    <w:uiPriority w:val="0"/>
    <w:pPr>
      <w:jc w:val="center"/>
      <w:outlineLvl w:val="0"/>
    </w:pPr>
    <w:rPr>
      <w:b/>
      <w:kern w:val="44"/>
      <w:sz w:val="44"/>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60" w:lineRule="atLeast"/>
      <w:textAlignment w:val="baseline"/>
    </w:pPr>
    <w:rPr>
      <w:rFonts w:ascii="Arial" w:hAnsi="Calibri" w:eastAsia="宋体" w:cs="Times New Roman"/>
      <w:sz w:val="34"/>
      <w:szCs w:val="22"/>
      <w:lang w:val="en-US" w:eastAsia="zh-CN" w:bidi="ar-SA"/>
    </w:rPr>
  </w:style>
  <w:style w:type="paragraph" w:styleId="5">
    <w:name w:val="Body Text"/>
    <w:basedOn w:val="1"/>
    <w:next w:val="1"/>
    <w:semiHidden/>
    <w:qFormat/>
    <w:uiPriority w:val="0"/>
    <w:pPr>
      <w:spacing w:after="12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标题 1 Char"/>
    <w:basedOn w:val="11"/>
    <w:link w:val="3"/>
    <w:qFormat/>
    <w:uiPriority w:val="0"/>
    <w:rPr>
      <w:rFonts w:ascii="Times New Roman" w:hAnsi="Times New Roman" w:eastAsia="宋体" w:cs="Times New Roman"/>
      <w:b/>
      <w:kern w:val="44"/>
      <w:sz w:val="44"/>
      <w:szCs w:val="20"/>
    </w:rPr>
  </w:style>
  <w:style w:type="paragraph" w:customStyle="1" w:styleId="17">
    <w:name w:val="本文正文"/>
    <w:basedOn w:val="1"/>
    <w:qFormat/>
    <w:uiPriority w:val="0"/>
    <w:pPr>
      <w:tabs>
        <w:tab w:val="left" w:pos="630"/>
      </w:tabs>
      <w:topLinePunct/>
      <w:adjustRightInd w:val="0"/>
      <w:spacing w:line="360" w:lineRule="exact"/>
    </w:pPr>
    <w:rPr>
      <w:color w:val="000000"/>
    </w:rPr>
  </w:style>
  <w:style w:type="paragraph" w:customStyle="1" w:styleId="18">
    <w:name w:val="Normal_1"/>
    <w:qFormat/>
    <w:uiPriority w:val="0"/>
    <w:pPr>
      <w:widowControl w:val="0"/>
      <w:jc w:val="both"/>
    </w:pPr>
    <w:rPr>
      <w:rFonts w:ascii="Times New Roman" w:hAnsi="Times New Roman" w:eastAsia="宋体" w:cs="Times New Roman"/>
      <w:lang w:val="en-US" w:eastAsia="zh-CN" w:bidi="ar-SA"/>
    </w:rPr>
  </w:style>
  <w:style w:type="character" w:customStyle="1" w:styleId="19">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4849</Words>
  <Characters>5529</Characters>
  <Lines>28</Lines>
  <Paragraphs>8</Paragraphs>
  <TotalTime>4</TotalTime>
  <ScaleCrop>false</ScaleCrop>
  <LinksUpToDate>false</LinksUpToDate>
  <CharactersWithSpaces>5549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lenovo</cp:lastModifiedBy>
  <dcterms:modified xsi:type="dcterms:W3CDTF">2022-11-23T07:28:30Z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B9D790BC200E42E1852D85AC6EAAB8FA</vt:lpwstr>
  </property>
</Properties>
</file>