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Arial"/>
          <w:b/>
          <w:bCs/>
          <w:color w:val="000000" w:themeColor="text1"/>
          <w:kern w:val="0"/>
          <w:szCs w:val="21"/>
          <w:highlight w:val="none"/>
        </w:rPr>
      </w:pPr>
      <w:bookmarkStart w:id="1" w:name="_GoBack"/>
      <w:bookmarkEnd w:id="1"/>
      <w:r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</w:rPr>
        <w:t>附件1   招标需求一览表</w:t>
      </w:r>
    </w:p>
    <w:tbl>
      <w:tblPr>
        <w:tblStyle w:val="7"/>
        <w:tblW w:w="13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187"/>
        <w:gridCol w:w="2440"/>
        <w:gridCol w:w="661"/>
        <w:gridCol w:w="794"/>
        <w:gridCol w:w="1060"/>
        <w:gridCol w:w="825"/>
        <w:gridCol w:w="2544"/>
        <w:gridCol w:w="1759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包名称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sz w:val="22"/>
                <w:szCs w:val="22"/>
                <w:highlight w:val="none"/>
              </w:rPr>
              <w:t>服务内容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工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期</w:t>
            </w:r>
          </w:p>
        </w:tc>
        <w:tc>
          <w:tcPr>
            <w:tcW w:w="825" w:type="dxa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质保期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不低于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2544" w:type="dxa"/>
            <w:vAlign w:val="center"/>
          </w:tcPr>
          <w:p>
            <w:pPr>
              <w:pStyle w:val="13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1759" w:type="dxa"/>
            <w:vAlign w:val="center"/>
          </w:tcPr>
          <w:p>
            <w:pPr>
              <w:pStyle w:val="13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607" w:type="dxa"/>
            <w:vAlign w:val="center"/>
          </w:tcPr>
          <w:p>
            <w:pPr>
              <w:pStyle w:val="13"/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065" w:type="dxa"/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ascii="仿宋" w:hAnsi="仿宋" w:eastAsia="仿宋" w:cs="Arial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室内挂轨式移动巡检终端及定制型防爆屏安装项目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pStyle w:val="13"/>
              <w:widowControl/>
              <w:jc w:val="center"/>
              <w:rPr>
                <w:rFonts w:ascii="仿宋" w:hAnsi="仿宋" w:eastAsia="仿宋" w:cs="Arial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室内挂轨式移动巡检终端及定制型防爆屏安装</w:t>
            </w:r>
          </w:p>
        </w:tc>
        <w:tc>
          <w:tcPr>
            <w:tcW w:w="2440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</w:rPr>
              <w:t>按照甲方及业主方要求，完成超高压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</w:rPr>
              <w:t>500kV百色变电站、500kV贺州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</w:rPr>
              <w:t>变电站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</w:rPr>
              <w:t>500kV南宁变电站、500kV永安变电站共4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</w:rPr>
              <w:t>个站点2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</w:rPr>
              <w:t>套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</w:rPr>
              <w:t>室内挂轨移动巡检终端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</w:rPr>
              <w:t>190个定制型防爆屏的安装工作，主要包括：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</w:rPr>
              <w:t>轨道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</w:rPr>
              <w:t>和各类支架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</w:rPr>
              <w:t>安装；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</w:rPr>
              <w:t>各类巡检终端安装；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</w:rPr>
              <w:t>各类通讯配电箱（柜）安装；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</w:rPr>
              <w:t>定制型防爆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</w:rPr>
              <w:t>屏的改造安装；变电站后台系统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</w:rPr>
              <w:t>及图像工作站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</w:rPr>
              <w:t>安装；各类线缆敷设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</w:rPr>
              <w:t>接线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</w:rPr>
              <w:t>；各类管材、线槽安装；墙面开槽及恢复；直埋电缆沟开挖及恢复；所涉接地系统及防火封堵、建筑和绿化设施拆除和恢复；招标方要求的各类设计外少量的零星施工和用工工作等)，确保各项功能正常使用，通过业主方及甲方验收。</w:t>
            </w:r>
          </w:p>
        </w:tc>
        <w:tc>
          <w:tcPr>
            <w:tcW w:w="661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宗</w:t>
            </w:r>
          </w:p>
        </w:tc>
        <w:tc>
          <w:tcPr>
            <w:tcW w:w="794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Arial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</w:rPr>
              <w:t>接安装通知后30日内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highlight w:val="none"/>
                <w:lang w:val="en-US" w:eastAsia="zh-CN"/>
              </w:rPr>
              <w:t>12个月</w:t>
            </w:r>
          </w:p>
        </w:tc>
        <w:tc>
          <w:tcPr>
            <w:tcW w:w="2544" w:type="dxa"/>
            <w:vAlign w:val="center"/>
          </w:tcPr>
          <w:p>
            <w:pPr>
              <w:pStyle w:val="13"/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供应商要求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供应商应具有独立订立合同的法人资格。</w:t>
            </w:r>
          </w:p>
          <w:p>
            <w:pPr>
              <w:pStyle w:val="13"/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有效的安全生产许可证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提供安全生产许可证</w:t>
            </w:r>
          </w:p>
          <w:p>
            <w:pPr>
              <w:pStyle w:val="13"/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有效的资质等级证书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具备建设行政主管部门颁发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的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建筑机电安装工程专业承包三级及以上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资质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或输变电工程专业承包三级及以上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资质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或电力工程施工总承包三级及以上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资质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或电力监管机构核发的《承装（修、试）电力设施许可证》，许可范围包含五级及以上承装。</w:t>
            </w:r>
          </w:p>
          <w:p>
            <w:pPr>
              <w:pStyle w:val="13"/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不接受联合体投标</w:t>
            </w:r>
          </w:p>
        </w:tc>
        <w:tc>
          <w:tcPr>
            <w:tcW w:w="1759" w:type="dxa"/>
            <w:vAlign w:val="center"/>
          </w:tcPr>
          <w:p>
            <w:pPr>
              <w:pStyle w:val="13"/>
              <w:widowControl/>
              <w:jc w:val="center"/>
              <w:rPr>
                <w:rFonts w:hint="eastAsia" w:ascii="仿宋" w:hAnsi="仿宋" w:eastAsia="仿宋" w:cs="宋体"/>
                <w:color w:val="000000" w:themeColor="text1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2019年1月1日至招标采购公告发布日止，完成过</w:t>
            </w:r>
            <w:r>
              <w:rPr>
                <w:rFonts w:hint="default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室内轨道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巡检机器人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的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安装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项目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不少于2份，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合同额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累计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不低于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default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万。注：业绩必须提供对应的合同复印件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。</w:t>
            </w:r>
          </w:p>
        </w:tc>
        <w:tc>
          <w:tcPr>
            <w:tcW w:w="1607" w:type="dxa"/>
            <w:vAlign w:val="center"/>
          </w:tcPr>
          <w:p>
            <w:pPr>
              <w:pStyle w:val="13"/>
              <w:widowControl/>
              <w:jc w:val="center"/>
              <w:rPr>
                <w:rFonts w:hint="default" w:ascii="仿宋" w:hAnsi="仿宋" w:eastAsia="仿宋" w:cs="宋体"/>
                <w:color w:val="000000" w:themeColor="text1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2"/>
                <w:szCs w:val="22"/>
                <w:highlight w:val="none"/>
                <w:lang w:val="en-US" w:eastAsia="zh-CN"/>
              </w:rPr>
              <w:t>3.4</w:t>
            </w:r>
          </w:p>
        </w:tc>
      </w:tr>
    </w:tbl>
    <w:p>
      <w:pPr>
        <w:pStyle w:val="13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/>
          <w:sz w:val="22"/>
          <w:szCs w:val="22"/>
          <w:highlight w:val="none"/>
        </w:rPr>
        <w:t>。</w:t>
      </w:r>
    </w:p>
    <w:p>
      <w:pPr>
        <w:pStyle w:val="13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</w:t>
      </w:r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</w:rPr>
        <w:t>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3"/>
        <w:tabs>
          <w:tab w:val="left" w:pos="625"/>
        </w:tabs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bookmarkEnd w:id="0"/>
    <w:p>
      <w:pPr>
        <w:rPr>
          <w:highlight w:val="none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xYzFmYzY4ZmRmN2ZiNWEzZWI0MjIyZmU3ODRmODQifQ=="/>
  </w:docVars>
  <w:rsids>
    <w:rsidRoot w:val="00F07759"/>
    <w:rsid w:val="00087175"/>
    <w:rsid w:val="000E5393"/>
    <w:rsid w:val="0012775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B506E8"/>
    <w:rsid w:val="02381A41"/>
    <w:rsid w:val="024E0501"/>
    <w:rsid w:val="042B3D4F"/>
    <w:rsid w:val="04E72BB1"/>
    <w:rsid w:val="05CA21F9"/>
    <w:rsid w:val="05D654CD"/>
    <w:rsid w:val="06CD2089"/>
    <w:rsid w:val="089F25C6"/>
    <w:rsid w:val="09002B02"/>
    <w:rsid w:val="0961311E"/>
    <w:rsid w:val="0AF34D05"/>
    <w:rsid w:val="0B42259C"/>
    <w:rsid w:val="0B6B6322"/>
    <w:rsid w:val="0C6745F0"/>
    <w:rsid w:val="0C6B6663"/>
    <w:rsid w:val="0CD22C69"/>
    <w:rsid w:val="0D0269A1"/>
    <w:rsid w:val="0D7E729B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395152B"/>
    <w:rsid w:val="14263A91"/>
    <w:rsid w:val="14DD7437"/>
    <w:rsid w:val="14E7063D"/>
    <w:rsid w:val="14ED5535"/>
    <w:rsid w:val="152109A0"/>
    <w:rsid w:val="15D93023"/>
    <w:rsid w:val="15DE5ED6"/>
    <w:rsid w:val="164C4D8E"/>
    <w:rsid w:val="172C17A9"/>
    <w:rsid w:val="179A6928"/>
    <w:rsid w:val="17A97DE2"/>
    <w:rsid w:val="17DB5B4C"/>
    <w:rsid w:val="187022FD"/>
    <w:rsid w:val="18EA3261"/>
    <w:rsid w:val="18FD3F6F"/>
    <w:rsid w:val="19096657"/>
    <w:rsid w:val="19A5125A"/>
    <w:rsid w:val="1A2D70B4"/>
    <w:rsid w:val="1A306F84"/>
    <w:rsid w:val="1A833EC2"/>
    <w:rsid w:val="1ABB017E"/>
    <w:rsid w:val="1B75596D"/>
    <w:rsid w:val="1B8062A2"/>
    <w:rsid w:val="1CD62B36"/>
    <w:rsid w:val="1DAE7DCF"/>
    <w:rsid w:val="1E1038E4"/>
    <w:rsid w:val="1E9820B0"/>
    <w:rsid w:val="1EFA5CD2"/>
    <w:rsid w:val="1F3969C0"/>
    <w:rsid w:val="1F4262AB"/>
    <w:rsid w:val="206378E1"/>
    <w:rsid w:val="20AC270D"/>
    <w:rsid w:val="20AF1FA9"/>
    <w:rsid w:val="211F423F"/>
    <w:rsid w:val="217D69B9"/>
    <w:rsid w:val="219C4862"/>
    <w:rsid w:val="222E4F10"/>
    <w:rsid w:val="22343EB9"/>
    <w:rsid w:val="22901FF9"/>
    <w:rsid w:val="2299232C"/>
    <w:rsid w:val="22F0607C"/>
    <w:rsid w:val="233D2C3A"/>
    <w:rsid w:val="23492DD2"/>
    <w:rsid w:val="23804CB9"/>
    <w:rsid w:val="23A60508"/>
    <w:rsid w:val="24401449"/>
    <w:rsid w:val="25353F86"/>
    <w:rsid w:val="253B43C5"/>
    <w:rsid w:val="2634607D"/>
    <w:rsid w:val="2671336B"/>
    <w:rsid w:val="27025F5B"/>
    <w:rsid w:val="2761134E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C730A"/>
    <w:rsid w:val="2CAB1F8D"/>
    <w:rsid w:val="2DFF4C45"/>
    <w:rsid w:val="2E0C1AB8"/>
    <w:rsid w:val="2E2D7AE9"/>
    <w:rsid w:val="2E3D58F0"/>
    <w:rsid w:val="2F380C61"/>
    <w:rsid w:val="2FB322B7"/>
    <w:rsid w:val="2FC84E3A"/>
    <w:rsid w:val="31A61791"/>
    <w:rsid w:val="31C56881"/>
    <w:rsid w:val="31D73940"/>
    <w:rsid w:val="33B10D29"/>
    <w:rsid w:val="34766267"/>
    <w:rsid w:val="351A272F"/>
    <w:rsid w:val="353C01A6"/>
    <w:rsid w:val="355A3E14"/>
    <w:rsid w:val="35E05426"/>
    <w:rsid w:val="37685518"/>
    <w:rsid w:val="37775DB9"/>
    <w:rsid w:val="391D3D61"/>
    <w:rsid w:val="395150CA"/>
    <w:rsid w:val="3A8D15F7"/>
    <w:rsid w:val="3B245E62"/>
    <w:rsid w:val="3B8E718B"/>
    <w:rsid w:val="3B940012"/>
    <w:rsid w:val="3BA02539"/>
    <w:rsid w:val="3BD715E3"/>
    <w:rsid w:val="3D6101B3"/>
    <w:rsid w:val="3DAA36C5"/>
    <w:rsid w:val="3F506B7A"/>
    <w:rsid w:val="3FA45657"/>
    <w:rsid w:val="3FC424E1"/>
    <w:rsid w:val="404B3A6E"/>
    <w:rsid w:val="40687B37"/>
    <w:rsid w:val="40884242"/>
    <w:rsid w:val="40950B98"/>
    <w:rsid w:val="40CF0912"/>
    <w:rsid w:val="414D39CE"/>
    <w:rsid w:val="41D73C80"/>
    <w:rsid w:val="431C5F81"/>
    <w:rsid w:val="43225F59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7A2E3A"/>
    <w:rsid w:val="45855E35"/>
    <w:rsid w:val="45F31230"/>
    <w:rsid w:val="464F52D7"/>
    <w:rsid w:val="46E46B3F"/>
    <w:rsid w:val="47111A67"/>
    <w:rsid w:val="479478A0"/>
    <w:rsid w:val="49375E89"/>
    <w:rsid w:val="49E00010"/>
    <w:rsid w:val="4AE25091"/>
    <w:rsid w:val="4B991A97"/>
    <w:rsid w:val="4BE1690E"/>
    <w:rsid w:val="4C024CD6"/>
    <w:rsid w:val="4DE507C2"/>
    <w:rsid w:val="4E39053A"/>
    <w:rsid w:val="4F664640"/>
    <w:rsid w:val="4FB764FC"/>
    <w:rsid w:val="503E2A09"/>
    <w:rsid w:val="504E07CA"/>
    <w:rsid w:val="505912F5"/>
    <w:rsid w:val="50637B38"/>
    <w:rsid w:val="506C051D"/>
    <w:rsid w:val="50F316BC"/>
    <w:rsid w:val="527E4FBE"/>
    <w:rsid w:val="534B5D10"/>
    <w:rsid w:val="551A14A5"/>
    <w:rsid w:val="55FD043C"/>
    <w:rsid w:val="56BF5AA4"/>
    <w:rsid w:val="571B1C31"/>
    <w:rsid w:val="57C03084"/>
    <w:rsid w:val="57C2358D"/>
    <w:rsid w:val="585F7DC6"/>
    <w:rsid w:val="59064B47"/>
    <w:rsid w:val="5A1C5082"/>
    <w:rsid w:val="5A6C6EC0"/>
    <w:rsid w:val="5AA159FD"/>
    <w:rsid w:val="5AB31E7E"/>
    <w:rsid w:val="5AC9471C"/>
    <w:rsid w:val="5B424D5F"/>
    <w:rsid w:val="5B49165D"/>
    <w:rsid w:val="5B8A1302"/>
    <w:rsid w:val="5C386706"/>
    <w:rsid w:val="5C837F8B"/>
    <w:rsid w:val="5C8A31FB"/>
    <w:rsid w:val="5D245AC0"/>
    <w:rsid w:val="5DCD6ED7"/>
    <w:rsid w:val="5DF94D6D"/>
    <w:rsid w:val="5E12718B"/>
    <w:rsid w:val="5F137CAF"/>
    <w:rsid w:val="5F4D0687"/>
    <w:rsid w:val="5F516D76"/>
    <w:rsid w:val="60602346"/>
    <w:rsid w:val="60C1653D"/>
    <w:rsid w:val="61032FD2"/>
    <w:rsid w:val="61390A98"/>
    <w:rsid w:val="625A0266"/>
    <w:rsid w:val="626B719B"/>
    <w:rsid w:val="62744A27"/>
    <w:rsid w:val="630C2E3C"/>
    <w:rsid w:val="635F160D"/>
    <w:rsid w:val="639C3A88"/>
    <w:rsid w:val="641106C5"/>
    <w:rsid w:val="648A5168"/>
    <w:rsid w:val="65722563"/>
    <w:rsid w:val="660A1885"/>
    <w:rsid w:val="66E74C08"/>
    <w:rsid w:val="67A46833"/>
    <w:rsid w:val="6864098F"/>
    <w:rsid w:val="68A6679F"/>
    <w:rsid w:val="68A9611A"/>
    <w:rsid w:val="6943445A"/>
    <w:rsid w:val="69E947AF"/>
    <w:rsid w:val="6A77304C"/>
    <w:rsid w:val="6A8C16D9"/>
    <w:rsid w:val="6AF532DC"/>
    <w:rsid w:val="6AF91AF5"/>
    <w:rsid w:val="6B3469BB"/>
    <w:rsid w:val="6B8321D1"/>
    <w:rsid w:val="6BF22F1B"/>
    <w:rsid w:val="6C1B4FD6"/>
    <w:rsid w:val="6D0039E6"/>
    <w:rsid w:val="6DFF121E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AA67BF"/>
    <w:rsid w:val="71E6726A"/>
    <w:rsid w:val="71FE2EF0"/>
    <w:rsid w:val="732433BA"/>
    <w:rsid w:val="733C35D5"/>
    <w:rsid w:val="73692775"/>
    <w:rsid w:val="73E233A6"/>
    <w:rsid w:val="74400F6C"/>
    <w:rsid w:val="748F4ADC"/>
    <w:rsid w:val="751A7727"/>
    <w:rsid w:val="75427BF8"/>
    <w:rsid w:val="756538F4"/>
    <w:rsid w:val="7667358E"/>
    <w:rsid w:val="7895679E"/>
    <w:rsid w:val="78A22C2A"/>
    <w:rsid w:val="78E5635C"/>
    <w:rsid w:val="792B0B52"/>
    <w:rsid w:val="7AA82E41"/>
    <w:rsid w:val="7BD81B9B"/>
    <w:rsid w:val="7CA47EC1"/>
    <w:rsid w:val="7E7E14C8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865</Words>
  <Characters>900</Characters>
  <Lines>28</Lines>
  <Paragraphs>8</Paragraphs>
  <TotalTime>1</TotalTime>
  <ScaleCrop>false</ScaleCrop>
  <LinksUpToDate>false</LinksUpToDate>
  <CharactersWithSpaces>903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lenovo</cp:lastModifiedBy>
  <dcterms:modified xsi:type="dcterms:W3CDTF">2022-12-07T10:31:51Z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6F2B01104285491D858606FBE43B4915</vt:lpwstr>
  </property>
</Properties>
</file>