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   招标需求一览表</w:t>
      </w:r>
      <w:bookmarkStart w:id="1" w:name="_GoBack"/>
      <w:bookmarkEnd w:id="1"/>
    </w:p>
    <w:p>
      <w:pPr>
        <w:pStyle w:val="17"/>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分标一：配电综合监控终端组件采购项目</w:t>
      </w:r>
    </w:p>
    <w:tbl>
      <w:tblPr>
        <w:tblStyle w:val="9"/>
        <w:tblW w:w="505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2782"/>
        <w:gridCol w:w="926"/>
        <w:gridCol w:w="900"/>
        <w:gridCol w:w="1607"/>
        <w:gridCol w:w="983"/>
        <w:gridCol w:w="1370"/>
        <w:gridCol w:w="1370"/>
        <w:gridCol w:w="137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72"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971"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323"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314"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561"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343" w:type="pct"/>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478"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478" w:type="pct"/>
            <w:shd w:val="clear" w:color="auto" w:fill="auto"/>
            <w:vAlign w:val="center"/>
          </w:tcPr>
          <w:p>
            <w:pPr>
              <w:widowControl/>
              <w:jc w:val="center"/>
              <w:rPr>
                <w:rFonts w:hint="eastAsia" w:ascii="仿宋" w:hAnsi="仿宋" w:eastAsia="仿宋" w:cs="仿宋"/>
                <w:b/>
                <w:bCs/>
                <w:color w:val="000000"/>
                <w:kern w:val="2"/>
                <w:sz w:val="22"/>
                <w:szCs w:val="22"/>
                <w:highlight w:val="none"/>
                <w:lang w:val="en-US" w:eastAsia="zh-CN" w:bidi="ar-SA"/>
              </w:rPr>
            </w:pPr>
            <w:r>
              <w:rPr>
                <w:rFonts w:hint="eastAsia" w:ascii="仿宋" w:hAnsi="仿宋" w:eastAsia="仿宋" w:cs="仿宋"/>
                <w:b/>
                <w:bCs/>
                <w:color w:val="000000"/>
                <w:sz w:val="22"/>
                <w:szCs w:val="22"/>
                <w:highlight w:val="none"/>
                <w:lang w:val="en-US" w:eastAsia="zh-CN"/>
              </w:rPr>
              <w:t>专用资质要求</w:t>
            </w:r>
          </w:p>
        </w:tc>
        <w:tc>
          <w:tcPr>
            <w:tcW w:w="478" w:type="pct"/>
            <w:shd w:val="clear" w:color="auto" w:fill="auto"/>
            <w:vAlign w:val="center"/>
          </w:tcPr>
          <w:p>
            <w:pPr>
              <w:widowControl/>
              <w:jc w:val="center"/>
              <w:rPr>
                <w:rFonts w:hint="eastAsia" w:ascii="仿宋" w:hAnsi="仿宋" w:eastAsia="仿宋" w:cs="仿宋"/>
                <w:b/>
                <w:bCs/>
                <w:color w:val="000000"/>
                <w:kern w:val="2"/>
                <w:sz w:val="22"/>
                <w:szCs w:val="22"/>
                <w:highlight w:val="none"/>
                <w:lang w:val="en-US" w:eastAsia="zh-CN" w:bidi="ar-SA"/>
              </w:rPr>
            </w:pPr>
            <w:r>
              <w:rPr>
                <w:rFonts w:hint="eastAsia" w:ascii="仿宋" w:hAnsi="仿宋" w:eastAsia="仿宋" w:cs="仿宋"/>
                <w:b/>
                <w:bCs/>
                <w:color w:val="000000"/>
                <w:sz w:val="22"/>
                <w:szCs w:val="22"/>
                <w:highlight w:val="none"/>
                <w:lang w:val="en-US" w:eastAsia="zh-CN"/>
              </w:rPr>
              <w:t>专用业绩要求</w:t>
            </w:r>
          </w:p>
        </w:tc>
        <w:tc>
          <w:tcPr>
            <w:tcW w:w="478" w:type="pct"/>
            <w:shd w:val="clear" w:color="auto" w:fill="auto"/>
            <w:vAlign w:val="center"/>
          </w:tcPr>
          <w:p>
            <w:pPr>
              <w:widowControl/>
              <w:jc w:val="center"/>
              <w:rPr>
                <w:rFonts w:hint="eastAsia" w:ascii="仿宋" w:hAnsi="仿宋" w:eastAsia="仿宋" w:cs="仿宋"/>
                <w:b/>
                <w:bCs/>
                <w:color w:val="000000"/>
                <w:kern w:val="2"/>
                <w:sz w:val="22"/>
                <w:szCs w:val="22"/>
                <w:highlight w:val="none"/>
                <w:lang w:val="en-US" w:eastAsia="zh-CN" w:bidi="ar-SA"/>
              </w:rPr>
            </w:pPr>
            <w:r>
              <w:rPr>
                <w:rFonts w:hint="eastAsia" w:ascii="仿宋" w:hAnsi="仿宋" w:eastAsia="仿宋" w:cs="仿宋"/>
                <w:b/>
                <w:bCs/>
                <w:color w:val="00000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572" w:type="pct"/>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配电综合监控终端组件采购项目</w:t>
            </w:r>
          </w:p>
        </w:tc>
        <w:tc>
          <w:tcPr>
            <w:tcW w:w="971" w:type="pct"/>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含：8 间隔开闭所型配电综合监控设备组件、12 间隔开闭所型配电综合监控设备组件、16 间隔开闭所型配电综合监控设备组件、20 间隔开闭所型配电综合监控设备组件、24 间隔开闭所型配电综合监控设备组件、配电房综合监控终端设备组件(8 间隔DTU、2 变压器)</w:t>
            </w:r>
          </w:p>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配电房综合监控终端设备组件(8 间隔DTU、3 变压器)、视频监控和环境检测系统组件、光纤通信设备组件等</w:t>
            </w:r>
          </w:p>
        </w:tc>
        <w:tc>
          <w:tcPr>
            <w:tcW w:w="323" w:type="pct"/>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套</w:t>
            </w:r>
          </w:p>
        </w:tc>
        <w:tc>
          <w:tcPr>
            <w:tcW w:w="314" w:type="pct"/>
            <w:shd w:val="clear" w:color="000000" w:fill="FFFFFF"/>
            <w:vAlign w:val="center"/>
          </w:tcPr>
          <w:p>
            <w:pPr>
              <w:widowControl/>
              <w:jc w:val="center"/>
              <w:rPr>
                <w:rFonts w:ascii="仿宋" w:hAnsi="仿宋" w:eastAsia="仿宋" w:cs="Arial"/>
                <w:kern w:val="0"/>
                <w:sz w:val="22"/>
                <w:szCs w:val="22"/>
                <w:highlight w:val="none"/>
              </w:rPr>
            </w:pPr>
            <w:r>
              <w:rPr>
                <w:rFonts w:ascii="仿宋" w:hAnsi="仿宋" w:eastAsia="仿宋" w:cs="Arial"/>
                <w:kern w:val="0"/>
                <w:sz w:val="22"/>
                <w:szCs w:val="22"/>
                <w:highlight w:val="none"/>
              </w:rPr>
              <w:t>54</w:t>
            </w:r>
          </w:p>
        </w:tc>
        <w:tc>
          <w:tcPr>
            <w:tcW w:w="561" w:type="pct"/>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接到供货通知后15日内</w:t>
            </w:r>
          </w:p>
        </w:tc>
        <w:tc>
          <w:tcPr>
            <w:tcW w:w="343" w:type="pct"/>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5年</w:t>
            </w:r>
          </w:p>
        </w:tc>
        <w:tc>
          <w:tcPr>
            <w:tcW w:w="478" w:type="pct"/>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78" w:type="pct"/>
            <w:shd w:val="clear" w:color="auto" w:fill="auto"/>
            <w:vAlign w:val="center"/>
          </w:tcPr>
          <w:p>
            <w:pPr>
              <w:widowControl/>
              <w:jc w:val="center"/>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lang w:val="en-US" w:eastAsia="zh-CN"/>
              </w:rPr>
              <w:t>制造商；</w:t>
            </w:r>
          </w:p>
          <w:p>
            <w:pPr>
              <w:widowControl/>
              <w:jc w:val="center"/>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认证证书</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提供有效的ISO900</w:t>
            </w:r>
            <w:r>
              <w:rPr>
                <w:rFonts w:hint="eastAsia" w:ascii="仿宋" w:hAnsi="仿宋" w:eastAsia="仿宋" w:cs="Arial"/>
                <w:kern w:val="0"/>
                <w:sz w:val="22"/>
                <w:szCs w:val="22"/>
                <w:highlight w:val="none"/>
                <w:lang w:val="en-US" w:eastAsia="zh-CN"/>
              </w:rPr>
              <w:t xml:space="preserve"> </w:t>
            </w:r>
            <w:r>
              <w:rPr>
                <w:rFonts w:hint="eastAsia" w:ascii="仿宋" w:hAnsi="仿宋" w:eastAsia="仿宋" w:cs="Arial"/>
                <w:kern w:val="0"/>
                <w:sz w:val="22"/>
                <w:szCs w:val="22"/>
                <w:highlight w:val="none"/>
              </w:rPr>
              <w:t>0系列质量</w:t>
            </w:r>
            <w:r>
              <w:rPr>
                <w:rFonts w:hint="eastAsia" w:ascii="仿宋" w:hAnsi="仿宋" w:eastAsia="仿宋" w:cs="Arial"/>
                <w:kern w:val="0"/>
                <w:sz w:val="22"/>
                <w:szCs w:val="22"/>
                <w:highlight w:val="none"/>
                <w:lang w:eastAsia="zh-CN"/>
              </w:rPr>
              <w:t>管理</w:t>
            </w:r>
            <w:r>
              <w:rPr>
                <w:rFonts w:hint="eastAsia" w:ascii="仿宋" w:hAnsi="仿宋" w:eastAsia="仿宋" w:cs="Arial"/>
                <w:kern w:val="0"/>
                <w:sz w:val="22"/>
                <w:szCs w:val="22"/>
                <w:highlight w:val="none"/>
              </w:rPr>
              <w:t>体系认证证书</w:t>
            </w:r>
            <w:r>
              <w:rPr>
                <w:rFonts w:hint="eastAsia" w:ascii="仿宋" w:hAnsi="仿宋" w:eastAsia="仿宋" w:cs="Arial"/>
                <w:kern w:val="0"/>
                <w:sz w:val="22"/>
                <w:szCs w:val="22"/>
                <w:highlight w:val="none"/>
                <w:lang w:eastAsia="zh-CN"/>
              </w:rPr>
              <w:t>；</w:t>
            </w:r>
          </w:p>
          <w:p>
            <w:pPr>
              <w:widowControl/>
              <w:jc w:val="center"/>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3.</w:t>
            </w:r>
            <w:r>
              <w:rPr>
                <w:rFonts w:hint="eastAsia" w:ascii="仿宋" w:hAnsi="仿宋" w:eastAsia="仿宋" w:cs="Arial"/>
                <w:kern w:val="0"/>
                <w:sz w:val="22"/>
                <w:szCs w:val="22"/>
                <w:highlight w:val="none"/>
              </w:rPr>
              <w:t>产品型式试验报告或检测报告或鉴定报告</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提供第三方检测机构出具的有效的检测报告</w:t>
            </w:r>
            <w:r>
              <w:rPr>
                <w:rFonts w:hint="eastAsia" w:ascii="仿宋" w:hAnsi="仿宋" w:eastAsia="仿宋" w:cs="Arial"/>
                <w:kern w:val="0"/>
                <w:sz w:val="22"/>
                <w:szCs w:val="22"/>
                <w:highlight w:val="none"/>
                <w:lang w:eastAsia="zh-CN"/>
              </w:rPr>
              <w:t>。</w:t>
            </w:r>
          </w:p>
        </w:tc>
        <w:tc>
          <w:tcPr>
            <w:tcW w:w="478" w:type="pct"/>
            <w:shd w:val="clear" w:color="auto" w:fill="auto"/>
            <w:vAlign w:val="center"/>
          </w:tcPr>
          <w:p>
            <w:pPr>
              <w:widowControl/>
              <w:jc w:val="center"/>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2019年1月1日至招标公告发布之日内类似产品累计销售业绩不少于400万。注：业绩必须提供对应的合同复印件。</w:t>
            </w:r>
          </w:p>
        </w:tc>
        <w:tc>
          <w:tcPr>
            <w:tcW w:w="478" w:type="pct"/>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8.4</w:t>
            </w:r>
          </w:p>
        </w:tc>
      </w:tr>
    </w:tbl>
    <w:p>
      <w:pPr>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pStyle w:val="5"/>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分标二：智能电容器装置采购项目</w:t>
      </w:r>
    </w:p>
    <w:tbl>
      <w:tblPr>
        <w:tblStyle w:val="9"/>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820"/>
        <w:gridCol w:w="1168"/>
        <w:gridCol w:w="861"/>
        <w:gridCol w:w="932"/>
        <w:gridCol w:w="893"/>
        <w:gridCol w:w="729"/>
        <w:gridCol w:w="893"/>
        <w:gridCol w:w="2481"/>
        <w:gridCol w:w="204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67" w:type="pct"/>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316" w:type="pct"/>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450" w:type="pct"/>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332" w:type="pct"/>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359" w:type="pct"/>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344" w:type="pct"/>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281" w:type="pct"/>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344" w:type="pct"/>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956" w:type="pct"/>
            <w:shd w:val="clear" w:color="auto" w:fill="auto"/>
            <w:vAlign w:val="center"/>
          </w:tcPr>
          <w:p>
            <w:pPr>
              <w:widowControl/>
              <w:jc w:val="center"/>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专用资质要求</w:t>
            </w:r>
          </w:p>
        </w:tc>
        <w:tc>
          <w:tcPr>
            <w:tcW w:w="786" w:type="pct"/>
            <w:shd w:val="clear" w:color="auto" w:fill="auto"/>
            <w:vAlign w:val="center"/>
          </w:tcPr>
          <w:p>
            <w:pPr>
              <w:widowControl/>
              <w:jc w:val="center"/>
              <w:rPr>
                <w:rFonts w:hint="eastAsia" w:ascii="仿宋" w:hAnsi="仿宋" w:eastAsia="仿宋" w:cs="仿宋"/>
                <w:b/>
                <w:bCs/>
                <w:color w:val="000000"/>
                <w:kern w:val="2"/>
                <w:sz w:val="22"/>
                <w:szCs w:val="22"/>
                <w:highlight w:val="none"/>
                <w:lang w:val="en-US" w:eastAsia="zh-CN" w:bidi="ar-SA"/>
              </w:rPr>
            </w:pPr>
            <w:r>
              <w:rPr>
                <w:rFonts w:hint="eastAsia" w:ascii="仿宋" w:hAnsi="仿宋" w:eastAsia="仿宋" w:cs="仿宋"/>
                <w:b/>
                <w:bCs/>
                <w:color w:val="000000"/>
                <w:sz w:val="22"/>
                <w:szCs w:val="22"/>
                <w:highlight w:val="none"/>
                <w:lang w:val="en-US" w:eastAsia="zh-CN"/>
              </w:rPr>
              <w:t>专用业绩要求</w:t>
            </w:r>
          </w:p>
        </w:tc>
        <w:tc>
          <w:tcPr>
            <w:tcW w:w="461" w:type="pct"/>
            <w:shd w:val="clear" w:color="auto" w:fill="auto"/>
            <w:vAlign w:val="center"/>
          </w:tcPr>
          <w:p>
            <w:pPr>
              <w:widowControl/>
              <w:jc w:val="center"/>
              <w:rPr>
                <w:rFonts w:hint="eastAsia" w:ascii="仿宋" w:hAnsi="仿宋" w:eastAsia="仿宋" w:cs="仿宋"/>
                <w:b/>
                <w:bCs/>
                <w:color w:val="000000"/>
                <w:kern w:val="2"/>
                <w:sz w:val="22"/>
                <w:szCs w:val="22"/>
                <w:highlight w:val="none"/>
                <w:lang w:val="en-US" w:eastAsia="zh-CN" w:bidi="ar-SA"/>
              </w:rPr>
            </w:pPr>
            <w:r>
              <w:rPr>
                <w:rFonts w:hint="eastAsia" w:ascii="仿宋" w:hAnsi="仿宋" w:eastAsia="仿宋" w:cs="仿宋"/>
                <w:b/>
                <w:bCs/>
                <w:color w:val="00000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367" w:type="pct"/>
            <w:vAlign w:val="center"/>
          </w:tcPr>
          <w:p>
            <w:pPr>
              <w:widowControl/>
              <w:jc w:val="center"/>
              <w:rPr>
                <w:rFonts w:ascii="仿宋" w:hAnsi="仿宋" w:eastAsia="仿宋" w:cs="Arial"/>
                <w:color w:val="000000" w:themeColor="text1"/>
                <w:kern w:val="0"/>
                <w:sz w:val="22"/>
                <w:szCs w:val="21"/>
                <w:highlight w:val="none"/>
              </w:rPr>
            </w:pPr>
            <w:r>
              <w:rPr>
                <w:rFonts w:hint="eastAsia" w:ascii="仿宋" w:hAnsi="仿宋" w:eastAsia="仿宋"/>
                <w:spacing w:val="-2"/>
                <w:sz w:val="22"/>
                <w:szCs w:val="21"/>
                <w:highlight w:val="none"/>
              </w:rPr>
              <w:t>智能电容器装置采购项目（包一）</w:t>
            </w:r>
          </w:p>
        </w:tc>
        <w:tc>
          <w:tcPr>
            <w:tcW w:w="316" w:type="pct"/>
            <w:vAlign w:val="center"/>
          </w:tcPr>
          <w:p>
            <w:pPr>
              <w:widowControl/>
              <w:jc w:val="left"/>
              <w:textAlignment w:val="center"/>
              <w:rPr>
                <w:rFonts w:ascii="仿宋" w:hAnsi="仿宋" w:eastAsia="仿宋" w:cs="Arial"/>
                <w:color w:val="000000" w:themeColor="text1"/>
                <w:kern w:val="0"/>
                <w:sz w:val="22"/>
                <w:szCs w:val="21"/>
                <w:highlight w:val="none"/>
              </w:rPr>
            </w:pPr>
            <w:r>
              <w:rPr>
                <w:rFonts w:hint="eastAsia" w:ascii="仿宋" w:hAnsi="仿宋" w:eastAsia="仿宋"/>
                <w:spacing w:val="-2"/>
                <w:sz w:val="22"/>
                <w:szCs w:val="21"/>
                <w:highlight w:val="none"/>
              </w:rPr>
              <w:t>智能电容器装置1</w:t>
            </w:r>
          </w:p>
        </w:tc>
        <w:tc>
          <w:tcPr>
            <w:tcW w:w="450" w:type="pct"/>
            <w:shd w:val="clear" w:color="auto" w:fill="auto"/>
            <w:vAlign w:val="center"/>
          </w:tcPr>
          <w:p>
            <w:pPr>
              <w:widowControl/>
              <w:jc w:val="left"/>
              <w:textAlignment w:val="center"/>
              <w:rPr>
                <w:rFonts w:ascii="仿宋" w:hAnsi="仿宋" w:eastAsia="仿宋" w:cs="Arial"/>
                <w:color w:val="000000" w:themeColor="text1"/>
                <w:kern w:val="0"/>
                <w:sz w:val="22"/>
                <w:szCs w:val="22"/>
                <w:highlight w:val="none"/>
              </w:rPr>
            </w:pPr>
            <w:r>
              <w:rPr>
                <w:rFonts w:hint="eastAsia" w:ascii="仿宋" w:hAnsi="仿宋" w:eastAsia="仿宋"/>
                <w:sz w:val="20"/>
                <w:highlight w:val="none"/>
              </w:rPr>
              <w:t>额定工作电压：400V</w:t>
            </w:r>
            <w:r>
              <w:rPr>
                <w:rFonts w:ascii="仿宋" w:hAnsi="仿宋" w:eastAsia="仿宋"/>
                <w:sz w:val="20"/>
                <w:highlight w:val="none"/>
              </w:rPr>
              <w:t xml:space="preserve"> </w:t>
            </w:r>
            <w:r>
              <w:rPr>
                <w:rFonts w:hint="eastAsia" w:ascii="仿宋" w:hAnsi="仿宋" w:eastAsia="仿宋"/>
                <w:sz w:val="20"/>
                <w:highlight w:val="none"/>
              </w:rPr>
              <w:t>，额定绝缘电压660V，额定耐受电压 1890V（1min工频），额定短时耐受电流 ≥4kA</w:t>
            </w:r>
          </w:p>
        </w:tc>
        <w:tc>
          <w:tcPr>
            <w:tcW w:w="332" w:type="pct"/>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套</w:t>
            </w:r>
          </w:p>
        </w:tc>
        <w:tc>
          <w:tcPr>
            <w:tcW w:w="359" w:type="pct"/>
            <w:shd w:val="clear" w:color="000000" w:fill="FFFFFF"/>
            <w:vAlign w:val="center"/>
          </w:tcPr>
          <w:p>
            <w:pPr>
              <w:widowControl/>
              <w:ind w:firstLine="220" w:firstLineChars="100"/>
              <w:jc w:val="left"/>
              <w:textAlignment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365</w:t>
            </w:r>
          </w:p>
        </w:tc>
        <w:tc>
          <w:tcPr>
            <w:tcW w:w="344" w:type="pct"/>
            <w:vMerge w:val="restart"/>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合同签订后20日内</w:t>
            </w:r>
          </w:p>
        </w:tc>
        <w:tc>
          <w:tcPr>
            <w:tcW w:w="281" w:type="pct"/>
            <w:vMerge w:val="restart"/>
            <w:vAlign w:val="center"/>
          </w:tcPr>
          <w:p>
            <w:pPr>
              <w:widowControl/>
              <w:jc w:val="center"/>
              <w:rPr>
                <w:rFonts w:ascii="仿宋" w:hAnsi="仿宋" w:eastAsia="仿宋" w:cs="Arial"/>
                <w:color w:val="000000" w:themeColor="text1"/>
                <w:kern w:val="0"/>
                <w:sz w:val="22"/>
                <w:szCs w:val="22"/>
                <w:highlight w:val="none"/>
              </w:rPr>
            </w:pPr>
            <w:r>
              <w:rPr>
                <w:rFonts w:ascii="仿宋" w:hAnsi="仿宋" w:eastAsia="仿宋" w:cs="Arial"/>
                <w:color w:val="000000" w:themeColor="text1"/>
                <w:kern w:val="0"/>
                <w:sz w:val="22"/>
                <w:szCs w:val="22"/>
                <w:highlight w:val="none"/>
              </w:rPr>
              <w:t>3</w:t>
            </w:r>
            <w:r>
              <w:rPr>
                <w:rFonts w:hint="eastAsia" w:ascii="仿宋" w:hAnsi="仿宋" w:eastAsia="仿宋" w:cs="Arial"/>
                <w:color w:val="000000" w:themeColor="text1"/>
                <w:kern w:val="0"/>
                <w:sz w:val="22"/>
                <w:szCs w:val="22"/>
                <w:highlight w:val="none"/>
              </w:rPr>
              <w:t>年</w:t>
            </w:r>
          </w:p>
        </w:tc>
        <w:tc>
          <w:tcPr>
            <w:tcW w:w="344" w:type="pct"/>
            <w:vMerge w:val="restart"/>
            <w:shd w:val="clear" w:color="auto" w:fill="auto"/>
            <w:vAlign w:val="center"/>
          </w:tcPr>
          <w:p>
            <w:pPr>
              <w:widowControl/>
              <w:jc w:val="center"/>
              <w:textAlignment w:val="center"/>
              <w:rPr>
                <w:rFonts w:hint="eastAsia" w:ascii="仿宋" w:hAnsi="仿宋" w:eastAsia="仿宋"/>
                <w:sz w:val="20"/>
                <w:highlight w:val="none"/>
              </w:rPr>
            </w:pPr>
            <w:r>
              <w:rPr>
                <w:rFonts w:hint="eastAsia" w:ascii="仿宋" w:hAnsi="仿宋" w:eastAsia="仿宋"/>
                <w:sz w:val="20"/>
                <w:highlight w:val="none"/>
              </w:rPr>
              <w:t>买方指定仓库地面交货</w:t>
            </w:r>
          </w:p>
        </w:tc>
        <w:tc>
          <w:tcPr>
            <w:tcW w:w="956" w:type="pct"/>
            <w:shd w:val="clear" w:color="auto" w:fill="auto"/>
            <w:vAlign w:val="center"/>
          </w:tcPr>
          <w:p>
            <w:pPr>
              <w:widowControl/>
              <w:jc w:val="center"/>
              <w:textAlignment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lang w:val="en-US" w:eastAsia="zh-CN"/>
              </w:rPr>
              <w:t>制造商</w:t>
            </w:r>
            <w:r>
              <w:rPr>
                <w:rFonts w:hint="eastAsia" w:ascii="仿宋" w:hAnsi="仿宋" w:eastAsia="仿宋"/>
                <w:sz w:val="22"/>
                <w:szCs w:val="22"/>
                <w:highlight w:val="none"/>
              </w:rPr>
              <w:t>或代理商</w:t>
            </w:r>
            <w:r>
              <w:rPr>
                <w:rFonts w:hint="eastAsia" w:ascii="仿宋" w:hAnsi="仿宋" w:eastAsia="仿宋"/>
                <w:sz w:val="22"/>
                <w:szCs w:val="22"/>
                <w:highlight w:val="none"/>
                <w:lang w:eastAsia="zh-CN"/>
              </w:rPr>
              <w:t>；</w:t>
            </w:r>
          </w:p>
          <w:p>
            <w:pPr>
              <w:widowControl/>
              <w:jc w:val="center"/>
              <w:textAlignment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w:t>
            </w:r>
            <w:r>
              <w:rPr>
                <w:rFonts w:hint="eastAsia" w:ascii="仿宋" w:hAnsi="仿宋" w:eastAsia="仿宋"/>
                <w:sz w:val="22"/>
                <w:szCs w:val="22"/>
                <w:highlight w:val="none"/>
                <w:lang w:val="en-US" w:eastAsia="zh-CN"/>
              </w:rPr>
              <w:t xml:space="preserve"> </w:t>
            </w:r>
            <w:r>
              <w:rPr>
                <w:rFonts w:hint="eastAsia" w:ascii="仿宋" w:hAnsi="仿宋" w:eastAsia="仿宋"/>
                <w:sz w:val="22"/>
                <w:szCs w:val="22"/>
                <w:highlight w:val="none"/>
              </w:rPr>
              <w:t>9000系列质量管理体系认证证书</w:t>
            </w:r>
            <w:r>
              <w:rPr>
                <w:rFonts w:hint="eastAsia" w:ascii="仿宋" w:hAnsi="仿宋" w:eastAsia="仿宋"/>
                <w:sz w:val="22"/>
                <w:szCs w:val="22"/>
                <w:highlight w:val="none"/>
                <w:lang w:eastAsia="zh-CN"/>
              </w:rPr>
              <w:t>；</w:t>
            </w:r>
          </w:p>
          <w:p>
            <w:pPr>
              <w:widowControl/>
              <w:jc w:val="center"/>
              <w:textAlignment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w:t>
            </w:r>
            <w:r>
              <w:rPr>
                <w:rFonts w:hint="eastAsia" w:ascii="仿宋" w:hAnsi="仿宋" w:eastAsia="仿宋"/>
                <w:sz w:val="22"/>
                <w:szCs w:val="22"/>
                <w:highlight w:val="none"/>
              </w:rPr>
              <w:t>其他</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需提供制造商的授权函和质保函</w:t>
            </w:r>
            <w:r>
              <w:rPr>
                <w:rFonts w:hint="eastAsia" w:ascii="仿宋" w:hAnsi="仿宋" w:eastAsia="仿宋"/>
                <w:sz w:val="22"/>
                <w:szCs w:val="22"/>
                <w:highlight w:val="none"/>
                <w:lang w:eastAsia="zh-CN"/>
              </w:rPr>
              <w:t>。</w:t>
            </w:r>
          </w:p>
        </w:tc>
        <w:tc>
          <w:tcPr>
            <w:tcW w:w="786" w:type="pct"/>
            <w:shd w:val="clear" w:color="auto" w:fill="auto"/>
            <w:vAlign w:val="center"/>
          </w:tcPr>
          <w:p>
            <w:pPr>
              <w:widowControl/>
              <w:jc w:val="center"/>
              <w:textAlignment w:val="center"/>
              <w:rPr>
                <w:rFonts w:hint="eastAsia" w:ascii="仿宋" w:hAnsi="仿宋" w:eastAsia="仿宋"/>
                <w:sz w:val="22"/>
                <w:szCs w:val="22"/>
                <w:highlight w:val="none"/>
              </w:rPr>
            </w:pPr>
            <w:r>
              <w:rPr>
                <w:rFonts w:hint="eastAsia" w:ascii="仿宋" w:hAnsi="仿宋" w:eastAsia="仿宋"/>
                <w:sz w:val="22"/>
                <w:szCs w:val="22"/>
                <w:highlight w:val="none"/>
              </w:rPr>
              <w:t>业绩要求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2019年1月1日起至招标公告发布之日内累计配网类产品或智能开关类产品业绩不少于200万元。注：需提供相应的合同证明文件。</w:t>
            </w:r>
          </w:p>
        </w:tc>
        <w:tc>
          <w:tcPr>
            <w:tcW w:w="461" w:type="pct"/>
            <w:shd w:val="clear" w:color="auto" w:fill="auto"/>
            <w:vAlign w:val="center"/>
          </w:tcPr>
          <w:p>
            <w:pPr>
              <w:widowControl/>
              <w:jc w:val="center"/>
              <w:textAlignment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367" w:type="pct"/>
            <w:vAlign w:val="center"/>
          </w:tcPr>
          <w:p>
            <w:pPr>
              <w:widowControl/>
              <w:jc w:val="center"/>
              <w:rPr>
                <w:rFonts w:ascii="仿宋" w:hAnsi="仿宋" w:eastAsia="仿宋"/>
                <w:spacing w:val="-2"/>
                <w:sz w:val="22"/>
                <w:szCs w:val="21"/>
                <w:highlight w:val="none"/>
              </w:rPr>
            </w:pPr>
            <w:r>
              <w:rPr>
                <w:rFonts w:hint="eastAsia" w:ascii="仿宋" w:hAnsi="仿宋" w:eastAsia="仿宋"/>
                <w:spacing w:val="-2"/>
                <w:sz w:val="22"/>
                <w:szCs w:val="21"/>
                <w:highlight w:val="none"/>
              </w:rPr>
              <w:t>智能电容器装置采购项目（包二）</w:t>
            </w:r>
          </w:p>
        </w:tc>
        <w:tc>
          <w:tcPr>
            <w:tcW w:w="316" w:type="pct"/>
            <w:vAlign w:val="center"/>
          </w:tcPr>
          <w:p>
            <w:pPr>
              <w:widowControl/>
              <w:jc w:val="left"/>
              <w:textAlignment w:val="center"/>
              <w:rPr>
                <w:rFonts w:ascii="仿宋" w:hAnsi="仿宋" w:eastAsia="仿宋"/>
                <w:spacing w:val="-2"/>
                <w:sz w:val="22"/>
                <w:szCs w:val="21"/>
                <w:highlight w:val="none"/>
              </w:rPr>
            </w:pPr>
            <w:r>
              <w:rPr>
                <w:rFonts w:hint="eastAsia" w:ascii="仿宋" w:hAnsi="仿宋" w:eastAsia="仿宋"/>
                <w:spacing w:val="-2"/>
                <w:sz w:val="22"/>
                <w:szCs w:val="21"/>
                <w:highlight w:val="none"/>
              </w:rPr>
              <w:t>智能电容器装置2</w:t>
            </w:r>
          </w:p>
        </w:tc>
        <w:tc>
          <w:tcPr>
            <w:tcW w:w="450" w:type="pct"/>
            <w:shd w:val="clear" w:color="auto" w:fill="auto"/>
            <w:vAlign w:val="center"/>
          </w:tcPr>
          <w:p>
            <w:pPr>
              <w:widowControl/>
              <w:jc w:val="left"/>
              <w:textAlignment w:val="center"/>
              <w:rPr>
                <w:rFonts w:ascii="仿宋" w:hAnsi="仿宋" w:eastAsia="仿宋" w:cs="Arial"/>
                <w:color w:val="000000" w:themeColor="text1"/>
                <w:kern w:val="0"/>
                <w:sz w:val="22"/>
                <w:szCs w:val="22"/>
                <w:highlight w:val="none"/>
              </w:rPr>
            </w:pPr>
            <w:r>
              <w:rPr>
                <w:rFonts w:hint="eastAsia" w:ascii="仿宋" w:hAnsi="仿宋" w:eastAsia="仿宋"/>
                <w:sz w:val="20"/>
                <w:highlight w:val="none"/>
              </w:rPr>
              <w:t>额定工作电压：400V</w:t>
            </w:r>
            <w:r>
              <w:rPr>
                <w:rFonts w:ascii="仿宋" w:hAnsi="仿宋" w:eastAsia="仿宋"/>
                <w:sz w:val="20"/>
                <w:highlight w:val="none"/>
              </w:rPr>
              <w:t xml:space="preserve"> </w:t>
            </w:r>
            <w:r>
              <w:rPr>
                <w:rFonts w:hint="eastAsia" w:ascii="仿宋" w:hAnsi="仿宋" w:eastAsia="仿宋"/>
                <w:sz w:val="20"/>
                <w:highlight w:val="none"/>
              </w:rPr>
              <w:t>，额定绝缘电压660V，额定耐受电压 1890V（1min工频），额定短时耐受电流 ≥4kA</w:t>
            </w:r>
          </w:p>
        </w:tc>
        <w:tc>
          <w:tcPr>
            <w:tcW w:w="332" w:type="pct"/>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套</w:t>
            </w:r>
          </w:p>
        </w:tc>
        <w:tc>
          <w:tcPr>
            <w:tcW w:w="359" w:type="pct"/>
            <w:shd w:val="clear" w:color="000000" w:fill="FFFFFF"/>
            <w:vAlign w:val="center"/>
          </w:tcPr>
          <w:p>
            <w:pPr>
              <w:widowControl/>
              <w:ind w:firstLine="220" w:firstLineChars="100"/>
              <w:jc w:val="left"/>
              <w:textAlignment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150</w:t>
            </w:r>
          </w:p>
        </w:tc>
        <w:tc>
          <w:tcPr>
            <w:tcW w:w="344" w:type="pct"/>
            <w:vMerge w:val="continue"/>
            <w:shd w:val="clear" w:color="auto" w:fill="auto"/>
            <w:vAlign w:val="center"/>
          </w:tcPr>
          <w:p>
            <w:pPr>
              <w:widowControl/>
              <w:jc w:val="center"/>
              <w:rPr>
                <w:rFonts w:ascii="仿宋" w:hAnsi="仿宋" w:eastAsia="仿宋" w:cs="Arial"/>
                <w:color w:val="000000" w:themeColor="text1"/>
                <w:kern w:val="0"/>
                <w:sz w:val="22"/>
                <w:szCs w:val="22"/>
                <w:highlight w:val="none"/>
              </w:rPr>
            </w:pPr>
          </w:p>
        </w:tc>
        <w:tc>
          <w:tcPr>
            <w:tcW w:w="281" w:type="pct"/>
            <w:vMerge w:val="continue"/>
            <w:vAlign w:val="center"/>
          </w:tcPr>
          <w:p>
            <w:pPr>
              <w:widowControl/>
              <w:jc w:val="center"/>
              <w:rPr>
                <w:rFonts w:ascii="仿宋" w:hAnsi="仿宋" w:eastAsia="仿宋" w:cs="Arial"/>
                <w:color w:val="000000" w:themeColor="text1"/>
                <w:kern w:val="0"/>
                <w:sz w:val="22"/>
                <w:szCs w:val="22"/>
                <w:highlight w:val="none"/>
              </w:rPr>
            </w:pPr>
          </w:p>
        </w:tc>
        <w:tc>
          <w:tcPr>
            <w:tcW w:w="344" w:type="pct"/>
            <w:vMerge w:val="continue"/>
            <w:shd w:val="clear" w:color="auto" w:fill="auto"/>
            <w:vAlign w:val="center"/>
          </w:tcPr>
          <w:p>
            <w:pPr>
              <w:widowControl/>
              <w:jc w:val="center"/>
              <w:textAlignment w:val="center"/>
              <w:rPr>
                <w:rFonts w:hint="eastAsia" w:ascii="仿宋" w:hAnsi="仿宋" w:eastAsia="仿宋"/>
                <w:sz w:val="20"/>
                <w:highlight w:val="none"/>
              </w:rPr>
            </w:pPr>
          </w:p>
        </w:tc>
        <w:tc>
          <w:tcPr>
            <w:tcW w:w="956" w:type="pct"/>
            <w:shd w:val="clear" w:color="auto" w:fill="auto"/>
            <w:vAlign w:val="center"/>
          </w:tcPr>
          <w:p>
            <w:pPr>
              <w:widowControl/>
              <w:jc w:val="center"/>
              <w:textAlignment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lang w:val="en-US" w:eastAsia="zh-CN"/>
              </w:rPr>
              <w:t>制造商</w:t>
            </w:r>
            <w:r>
              <w:rPr>
                <w:rFonts w:hint="eastAsia" w:ascii="仿宋" w:hAnsi="仿宋" w:eastAsia="仿宋"/>
                <w:sz w:val="22"/>
                <w:szCs w:val="22"/>
                <w:highlight w:val="none"/>
              </w:rPr>
              <w:t>或代理商</w:t>
            </w:r>
            <w:r>
              <w:rPr>
                <w:rFonts w:hint="eastAsia" w:ascii="仿宋" w:hAnsi="仿宋" w:eastAsia="仿宋"/>
                <w:sz w:val="22"/>
                <w:szCs w:val="22"/>
                <w:highlight w:val="none"/>
                <w:lang w:eastAsia="zh-CN"/>
              </w:rPr>
              <w:t>；</w:t>
            </w:r>
          </w:p>
          <w:p>
            <w:pPr>
              <w:widowControl/>
              <w:jc w:val="center"/>
              <w:textAlignment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w:t>
            </w:r>
            <w:r>
              <w:rPr>
                <w:rFonts w:hint="eastAsia" w:ascii="仿宋" w:hAnsi="仿宋" w:eastAsia="仿宋"/>
                <w:sz w:val="22"/>
                <w:szCs w:val="22"/>
                <w:highlight w:val="none"/>
                <w:lang w:val="en-US" w:eastAsia="zh-CN"/>
              </w:rPr>
              <w:t xml:space="preserve"> </w:t>
            </w:r>
            <w:r>
              <w:rPr>
                <w:rFonts w:hint="eastAsia" w:ascii="仿宋" w:hAnsi="仿宋" w:eastAsia="仿宋"/>
                <w:sz w:val="22"/>
                <w:szCs w:val="22"/>
                <w:highlight w:val="none"/>
              </w:rPr>
              <w:t>9000系列质量管理体系认证证书</w:t>
            </w:r>
            <w:r>
              <w:rPr>
                <w:rFonts w:hint="eastAsia" w:ascii="仿宋" w:hAnsi="仿宋" w:eastAsia="仿宋"/>
                <w:sz w:val="22"/>
                <w:szCs w:val="22"/>
                <w:highlight w:val="none"/>
                <w:lang w:eastAsia="zh-CN"/>
              </w:rPr>
              <w:t>；</w:t>
            </w:r>
          </w:p>
          <w:p>
            <w:pPr>
              <w:widowControl/>
              <w:jc w:val="center"/>
              <w:textAlignment w:val="center"/>
              <w:rPr>
                <w:rFonts w:hint="eastAsia" w:ascii="仿宋" w:hAnsi="仿宋" w:eastAsia="仿宋"/>
                <w:sz w:val="22"/>
                <w:szCs w:val="22"/>
                <w:highlight w:val="none"/>
                <w:lang w:eastAsia="zh-CN"/>
              </w:rPr>
            </w:pPr>
            <w:r>
              <w:rPr>
                <w:rFonts w:hint="eastAsia" w:ascii="仿宋" w:hAnsi="仿宋" w:eastAsia="仿宋"/>
                <w:sz w:val="22"/>
                <w:szCs w:val="22"/>
                <w:highlight w:val="none"/>
                <w:lang w:val="en-US" w:eastAsia="zh-CN"/>
              </w:rPr>
              <w:t>3.</w:t>
            </w:r>
            <w:r>
              <w:rPr>
                <w:rFonts w:hint="eastAsia" w:ascii="仿宋" w:hAnsi="仿宋" w:eastAsia="仿宋"/>
                <w:sz w:val="22"/>
                <w:szCs w:val="22"/>
                <w:highlight w:val="none"/>
              </w:rPr>
              <w:t>其他</w:t>
            </w:r>
            <w:r>
              <w:rPr>
                <w:rFonts w:hint="eastAsia" w:ascii="仿宋" w:hAnsi="仿宋" w:eastAsia="仿宋"/>
                <w:sz w:val="22"/>
                <w:szCs w:val="22"/>
                <w:highlight w:val="none"/>
                <w:lang w:eastAsia="zh-CN"/>
              </w:rPr>
              <w:t>：</w:t>
            </w:r>
            <w:r>
              <w:rPr>
                <w:rFonts w:hint="eastAsia" w:ascii="仿宋" w:hAnsi="仿宋" w:eastAsia="仿宋"/>
                <w:sz w:val="22"/>
                <w:szCs w:val="22"/>
                <w:highlight w:val="none"/>
              </w:rPr>
              <w:t>需提供制造商的授权函和质保函</w:t>
            </w:r>
            <w:r>
              <w:rPr>
                <w:rFonts w:hint="eastAsia" w:ascii="仿宋" w:hAnsi="仿宋" w:eastAsia="仿宋"/>
                <w:sz w:val="22"/>
                <w:szCs w:val="22"/>
                <w:highlight w:val="none"/>
                <w:lang w:eastAsia="zh-CN"/>
              </w:rPr>
              <w:t>。</w:t>
            </w:r>
          </w:p>
        </w:tc>
        <w:tc>
          <w:tcPr>
            <w:tcW w:w="786" w:type="pct"/>
            <w:shd w:val="clear" w:color="auto" w:fill="auto"/>
            <w:vAlign w:val="center"/>
          </w:tcPr>
          <w:p>
            <w:pPr>
              <w:widowControl/>
              <w:jc w:val="center"/>
              <w:textAlignment w:val="center"/>
              <w:rPr>
                <w:rFonts w:hint="eastAsia" w:ascii="仿宋" w:hAnsi="仿宋" w:eastAsia="仿宋"/>
                <w:sz w:val="22"/>
                <w:szCs w:val="22"/>
                <w:highlight w:val="none"/>
              </w:rPr>
            </w:pPr>
            <w:r>
              <w:rPr>
                <w:rFonts w:hint="eastAsia" w:ascii="仿宋" w:hAnsi="仿宋" w:eastAsia="仿宋"/>
                <w:sz w:val="22"/>
                <w:szCs w:val="22"/>
                <w:highlight w:val="none"/>
              </w:rPr>
              <w:t>业绩要求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2019年1月1日起至招标公告发布之日内累计配网类产品或智能开关类产品业绩不少于200万元。注：需提供相应的合同证明文件。</w:t>
            </w:r>
          </w:p>
        </w:tc>
        <w:tc>
          <w:tcPr>
            <w:tcW w:w="461" w:type="pct"/>
            <w:shd w:val="clear" w:color="auto" w:fill="auto"/>
            <w:vAlign w:val="center"/>
          </w:tcPr>
          <w:p>
            <w:pPr>
              <w:widowControl/>
              <w:jc w:val="center"/>
              <w:textAlignment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1.3</w:t>
            </w:r>
          </w:p>
        </w:tc>
      </w:tr>
    </w:tbl>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hint="default"/>
          <w:highlight w:val="none"/>
          <w:lang w:val="en-US" w:eastAsia="zh-CN"/>
        </w:rPr>
      </w:pPr>
      <w:r>
        <w:rPr>
          <w:rFonts w:hint="default"/>
          <w:highlight w:val="none"/>
          <w:lang w:val="en-US" w:eastAsia="zh-CN"/>
        </w:rPr>
        <w:br w:type="page"/>
      </w:r>
    </w:p>
    <w:p>
      <w:pPr>
        <w:pStyle w:val="2"/>
        <w:rPr>
          <w:rFonts w:hint="default"/>
          <w:highlight w:val="none"/>
          <w:lang w:val="en-US" w:eastAsia="zh-CN"/>
        </w:rPr>
      </w:pPr>
    </w:p>
    <w:p>
      <w:pPr>
        <w:pStyle w:val="5"/>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分标三：线路舞动标定服务项目</w:t>
      </w:r>
    </w:p>
    <w:tbl>
      <w:tblPr>
        <w:tblStyle w:val="9"/>
        <w:tblW w:w="5118"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800"/>
        <w:gridCol w:w="1115"/>
        <w:gridCol w:w="1188"/>
        <w:gridCol w:w="1008"/>
        <w:gridCol w:w="1458"/>
        <w:gridCol w:w="2819"/>
        <w:gridCol w:w="2189"/>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6" w:type="pct"/>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项目名称</w:t>
            </w:r>
          </w:p>
        </w:tc>
        <w:tc>
          <w:tcPr>
            <w:tcW w:w="620" w:type="pct"/>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服务内容</w:t>
            </w:r>
          </w:p>
        </w:tc>
        <w:tc>
          <w:tcPr>
            <w:tcW w:w="384" w:type="pct"/>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数量</w:t>
            </w:r>
          </w:p>
        </w:tc>
        <w:tc>
          <w:tcPr>
            <w:tcW w:w="409" w:type="pct"/>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单位</w:t>
            </w:r>
          </w:p>
        </w:tc>
        <w:tc>
          <w:tcPr>
            <w:tcW w:w="347" w:type="pct"/>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工期</w:t>
            </w:r>
          </w:p>
        </w:tc>
        <w:tc>
          <w:tcPr>
            <w:tcW w:w="502" w:type="pct"/>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质保期</w:t>
            </w:r>
          </w:p>
        </w:tc>
        <w:tc>
          <w:tcPr>
            <w:tcW w:w="971" w:type="pct"/>
            <w:vAlign w:val="center"/>
          </w:tcPr>
          <w:p>
            <w:pPr>
              <w:widowControl/>
              <w:jc w:val="center"/>
              <w:rPr>
                <w:rFonts w:hint="eastAsia" w:ascii="仿宋" w:hAnsi="仿宋" w:eastAsia="仿宋" w:cs="仿宋"/>
                <w:b/>
                <w:bCs/>
                <w:color w:val="000000"/>
                <w:kern w:val="2"/>
                <w:sz w:val="22"/>
                <w:szCs w:val="22"/>
                <w:highlight w:val="none"/>
                <w:lang w:val="en-US" w:eastAsia="zh-CN" w:bidi="ar-SA"/>
              </w:rPr>
            </w:pPr>
            <w:r>
              <w:rPr>
                <w:rFonts w:hint="eastAsia" w:ascii="仿宋" w:hAnsi="仿宋" w:eastAsia="仿宋" w:cs="仿宋"/>
                <w:b/>
                <w:bCs/>
                <w:color w:val="000000"/>
                <w:sz w:val="22"/>
                <w:szCs w:val="22"/>
                <w:highlight w:val="none"/>
                <w:lang w:val="en-US" w:eastAsia="zh-CN"/>
              </w:rPr>
              <w:t>专用资质要求</w:t>
            </w:r>
          </w:p>
        </w:tc>
        <w:tc>
          <w:tcPr>
            <w:tcW w:w="754" w:type="pct"/>
            <w:vAlign w:val="center"/>
          </w:tcPr>
          <w:p>
            <w:pPr>
              <w:widowControl/>
              <w:jc w:val="center"/>
              <w:rPr>
                <w:rFonts w:hint="eastAsia" w:ascii="仿宋" w:hAnsi="仿宋" w:eastAsia="仿宋" w:cs="仿宋"/>
                <w:b/>
                <w:bCs/>
                <w:color w:val="000000"/>
                <w:kern w:val="2"/>
                <w:sz w:val="22"/>
                <w:szCs w:val="22"/>
                <w:highlight w:val="none"/>
                <w:lang w:val="en-US" w:eastAsia="zh-CN" w:bidi="ar-SA"/>
              </w:rPr>
            </w:pPr>
            <w:r>
              <w:rPr>
                <w:rFonts w:hint="eastAsia" w:ascii="仿宋" w:hAnsi="仿宋" w:eastAsia="仿宋" w:cs="仿宋"/>
                <w:b/>
                <w:bCs/>
                <w:color w:val="000000"/>
                <w:sz w:val="22"/>
                <w:szCs w:val="22"/>
                <w:highlight w:val="none"/>
                <w:lang w:val="en-US" w:eastAsia="zh-CN"/>
              </w:rPr>
              <w:t>专用业绩要求</w:t>
            </w:r>
          </w:p>
        </w:tc>
        <w:tc>
          <w:tcPr>
            <w:tcW w:w="494" w:type="pct"/>
            <w:vAlign w:val="center"/>
          </w:tcPr>
          <w:p>
            <w:pPr>
              <w:widowControl/>
              <w:jc w:val="center"/>
              <w:rPr>
                <w:rFonts w:hint="eastAsia" w:ascii="仿宋" w:hAnsi="仿宋" w:eastAsia="仿宋" w:cs="仿宋"/>
                <w:b/>
                <w:bCs/>
                <w:color w:val="000000"/>
                <w:kern w:val="2"/>
                <w:sz w:val="22"/>
                <w:szCs w:val="22"/>
                <w:highlight w:val="none"/>
                <w:lang w:val="en-US" w:eastAsia="zh-CN" w:bidi="ar-SA"/>
              </w:rPr>
            </w:pPr>
            <w:r>
              <w:rPr>
                <w:rFonts w:hint="eastAsia" w:ascii="仿宋" w:hAnsi="仿宋" w:eastAsia="仿宋" w:cs="仿宋"/>
                <w:b/>
                <w:bCs/>
                <w:color w:val="00000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16" w:type="pct"/>
            <w:vAlign w:val="center"/>
          </w:tcPr>
          <w:p>
            <w:pPr>
              <w:autoSpaceDN w:val="0"/>
              <w:jc w:val="center"/>
              <w:rPr>
                <w:rFonts w:ascii="仿宋" w:hAnsi="仿宋" w:eastAsia="仿宋"/>
                <w:color w:val="000000" w:themeColor="text1"/>
                <w:kern w:val="0"/>
                <w:sz w:val="24"/>
                <w:szCs w:val="24"/>
                <w:highlight w:val="none"/>
              </w:rPr>
            </w:pPr>
            <w:r>
              <w:rPr>
                <w:rFonts w:hint="eastAsia" w:ascii="仿宋" w:hAnsi="仿宋" w:eastAsia="仿宋"/>
                <w:color w:val="000000" w:themeColor="text1"/>
                <w:kern w:val="0"/>
                <w:sz w:val="24"/>
                <w:szCs w:val="24"/>
                <w:highlight w:val="none"/>
              </w:rPr>
              <w:t>线路舞动标定服务项目</w:t>
            </w:r>
          </w:p>
        </w:tc>
        <w:tc>
          <w:tcPr>
            <w:tcW w:w="620" w:type="pct"/>
            <w:vAlign w:val="center"/>
          </w:tcPr>
          <w:p>
            <w:pPr>
              <w:autoSpaceDN w:val="0"/>
              <w:jc w:val="left"/>
              <w:rPr>
                <w:rFonts w:ascii="仿宋" w:hAnsi="仿宋" w:eastAsia="仿宋"/>
                <w:color w:val="000000" w:themeColor="text1"/>
                <w:kern w:val="0"/>
                <w:sz w:val="24"/>
                <w:szCs w:val="24"/>
                <w:highlight w:val="none"/>
              </w:rPr>
            </w:pPr>
            <w:r>
              <w:rPr>
                <w:rFonts w:hint="eastAsia" w:ascii="仿宋" w:hAnsi="仿宋" w:eastAsia="仿宋" w:cs="方正仿宋_GBK"/>
                <w:bCs/>
                <w:snapToGrid w:val="0"/>
                <w:sz w:val="24"/>
                <w:szCs w:val="24"/>
                <w:highlight w:val="none"/>
              </w:rPr>
              <w:t>对输电线路进行线路三维激光点云数据与可视化影像标定建模</w:t>
            </w:r>
          </w:p>
        </w:tc>
        <w:tc>
          <w:tcPr>
            <w:tcW w:w="384" w:type="pct"/>
            <w:vAlign w:val="center"/>
          </w:tcPr>
          <w:p>
            <w:pPr>
              <w:autoSpaceDN w:val="0"/>
              <w:jc w:val="center"/>
              <w:rPr>
                <w:rFonts w:ascii="仿宋" w:hAnsi="仿宋" w:eastAsia="仿宋"/>
                <w:color w:val="000000" w:themeColor="text1"/>
                <w:kern w:val="0"/>
                <w:sz w:val="24"/>
                <w:szCs w:val="24"/>
                <w:highlight w:val="none"/>
              </w:rPr>
            </w:pPr>
            <w:r>
              <w:rPr>
                <w:rFonts w:hint="eastAsia" w:ascii="仿宋" w:hAnsi="仿宋" w:eastAsia="仿宋"/>
                <w:color w:val="000000"/>
                <w:sz w:val="24"/>
                <w:szCs w:val="24"/>
                <w:highlight w:val="none"/>
              </w:rPr>
              <w:t>26332</w:t>
            </w:r>
          </w:p>
        </w:tc>
        <w:tc>
          <w:tcPr>
            <w:tcW w:w="409" w:type="pct"/>
            <w:vAlign w:val="center"/>
          </w:tcPr>
          <w:p>
            <w:pPr>
              <w:autoSpaceDN w:val="0"/>
              <w:jc w:val="center"/>
              <w:rPr>
                <w:rFonts w:ascii="仿宋" w:hAnsi="仿宋" w:eastAsia="仿宋"/>
                <w:color w:val="000000" w:themeColor="text1"/>
                <w:kern w:val="0"/>
                <w:sz w:val="24"/>
                <w:szCs w:val="24"/>
                <w:highlight w:val="none"/>
              </w:rPr>
            </w:pPr>
            <w:r>
              <w:rPr>
                <w:rFonts w:hint="eastAsia" w:ascii="仿宋" w:hAnsi="仿宋" w:eastAsia="仿宋"/>
                <w:color w:val="000000" w:themeColor="text1"/>
                <w:kern w:val="0"/>
                <w:sz w:val="24"/>
                <w:szCs w:val="24"/>
                <w:highlight w:val="none"/>
              </w:rPr>
              <w:t>套</w:t>
            </w:r>
          </w:p>
        </w:tc>
        <w:tc>
          <w:tcPr>
            <w:tcW w:w="347" w:type="pct"/>
            <w:vAlign w:val="center"/>
          </w:tcPr>
          <w:p>
            <w:pPr>
              <w:autoSpaceDN w:val="0"/>
              <w:jc w:val="center"/>
              <w:rPr>
                <w:rFonts w:ascii="仿宋" w:hAnsi="仿宋" w:eastAsia="仿宋"/>
                <w:color w:val="000000" w:themeColor="text1"/>
                <w:kern w:val="0"/>
                <w:sz w:val="24"/>
                <w:szCs w:val="24"/>
                <w:highlight w:val="none"/>
              </w:rPr>
            </w:pPr>
            <w:r>
              <w:rPr>
                <w:rFonts w:hint="eastAsia" w:ascii="仿宋" w:hAnsi="仿宋" w:eastAsia="仿宋"/>
                <w:color w:val="000000" w:themeColor="text1"/>
                <w:kern w:val="0"/>
                <w:sz w:val="24"/>
                <w:szCs w:val="24"/>
                <w:highlight w:val="none"/>
              </w:rPr>
              <w:t>30天</w:t>
            </w:r>
          </w:p>
        </w:tc>
        <w:tc>
          <w:tcPr>
            <w:tcW w:w="502" w:type="pct"/>
            <w:vAlign w:val="center"/>
          </w:tcPr>
          <w:p>
            <w:pPr>
              <w:autoSpaceDN w:val="0"/>
              <w:jc w:val="center"/>
              <w:rPr>
                <w:rFonts w:hint="eastAsia" w:ascii="仿宋" w:hAnsi="仿宋" w:eastAsia="仿宋" w:cs="方正仿宋_GBK"/>
                <w:bCs/>
                <w:snapToGrid w:val="0"/>
                <w:sz w:val="24"/>
                <w:szCs w:val="24"/>
                <w:highlight w:val="none"/>
              </w:rPr>
            </w:pPr>
            <w:r>
              <w:rPr>
                <w:rFonts w:hint="eastAsia" w:ascii="仿宋" w:hAnsi="仿宋" w:eastAsia="仿宋" w:cs="方正仿宋_GBK"/>
                <w:bCs/>
                <w:snapToGrid w:val="0"/>
                <w:sz w:val="24"/>
                <w:szCs w:val="24"/>
                <w:highlight w:val="none"/>
              </w:rPr>
              <w:t>3年</w:t>
            </w:r>
          </w:p>
        </w:tc>
        <w:tc>
          <w:tcPr>
            <w:tcW w:w="971" w:type="pct"/>
            <w:vAlign w:val="center"/>
          </w:tcPr>
          <w:p>
            <w:pPr>
              <w:autoSpaceDN w:val="0"/>
              <w:jc w:val="center"/>
              <w:rPr>
                <w:rFonts w:hint="eastAsia" w:ascii="仿宋" w:hAnsi="仿宋" w:eastAsia="仿宋" w:cs="方正仿宋_GBK"/>
                <w:bCs/>
                <w:snapToGrid w:val="0"/>
                <w:sz w:val="24"/>
                <w:szCs w:val="24"/>
                <w:highlight w:val="none"/>
                <w:lang w:eastAsia="zh-CN"/>
              </w:rPr>
            </w:pPr>
            <w:r>
              <w:rPr>
                <w:rFonts w:hint="eastAsia" w:ascii="仿宋" w:hAnsi="仿宋" w:eastAsia="仿宋" w:cs="方正仿宋_GBK"/>
                <w:bCs/>
                <w:snapToGrid w:val="0"/>
                <w:sz w:val="24"/>
                <w:szCs w:val="24"/>
                <w:highlight w:val="none"/>
                <w:lang w:val="en-US" w:eastAsia="zh-CN"/>
              </w:rPr>
              <w:t>1.</w:t>
            </w:r>
            <w:r>
              <w:rPr>
                <w:rFonts w:hint="eastAsia" w:ascii="仿宋" w:hAnsi="仿宋" w:eastAsia="仿宋" w:cs="方正仿宋_GBK"/>
                <w:bCs/>
                <w:snapToGrid w:val="0"/>
                <w:sz w:val="24"/>
                <w:szCs w:val="24"/>
                <w:highlight w:val="none"/>
              </w:rPr>
              <w:t>厂商要求</w:t>
            </w:r>
            <w:r>
              <w:rPr>
                <w:rFonts w:hint="eastAsia" w:ascii="仿宋" w:hAnsi="仿宋" w:eastAsia="仿宋" w:cs="方正仿宋_GBK"/>
                <w:bCs/>
                <w:snapToGrid w:val="0"/>
                <w:sz w:val="24"/>
                <w:szCs w:val="24"/>
                <w:highlight w:val="none"/>
                <w:lang w:eastAsia="zh-CN"/>
              </w:rPr>
              <w:t>：</w:t>
            </w:r>
            <w:bookmarkStart w:id="0" w:name="_Hlk117000761"/>
            <w:r>
              <w:rPr>
                <w:rFonts w:hint="eastAsia" w:ascii="仿宋" w:hAnsi="仿宋" w:eastAsia="仿宋" w:cs="方正仿宋_GBK"/>
                <w:bCs/>
                <w:snapToGrid w:val="0"/>
                <w:sz w:val="24"/>
                <w:szCs w:val="24"/>
                <w:highlight w:val="none"/>
              </w:rPr>
              <w:t>应答人应具有独立订立合同的法人资格；不接受代理商及联合体投标</w:t>
            </w:r>
            <w:bookmarkEnd w:id="0"/>
            <w:r>
              <w:rPr>
                <w:rFonts w:hint="eastAsia" w:ascii="仿宋" w:hAnsi="仿宋" w:eastAsia="仿宋" w:cs="方正仿宋_GBK"/>
                <w:bCs/>
                <w:snapToGrid w:val="0"/>
                <w:sz w:val="24"/>
                <w:szCs w:val="24"/>
                <w:highlight w:val="none"/>
                <w:lang w:eastAsia="zh-CN"/>
              </w:rPr>
              <w:t>；</w:t>
            </w:r>
          </w:p>
          <w:p>
            <w:pPr>
              <w:autoSpaceDN w:val="0"/>
              <w:jc w:val="center"/>
              <w:rPr>
                <w:rFonts w:hint="eastAsia" w:ascii="仿宋" w:hAnsi="仿宋" w:eastAsia="仿宋" w:cs="方正仿宋_GBK"/>
                <w:bCs/>
                <w:snapToGrid w:val="0"/>
                <w:sz w:val="24"/>
                <w:szCs w:val="24"/>
                <w:highlight w:val="none"/>
                <w:lang w:eastAsia="zh-CN"/>
              </w:rPr>
            </w:pPr>
            <w:r>
              <w:rPr>
                <w:rFonts w:hint="eastAsia" w:ascii="仿宋" w:hAnsi="仿宋" w:eastAsia="仿宋" w:cs="方正仿宋_GBK"/>
                <w:bCs/>
                <w:snapToGrid w:val="0"/>
                <w:sz w:val="24"/>
                <w:szCs w:val="24"/>
                <w:highlight w:val="none"/>
                <w:lang w:val="en-US" w:eastAsia="zh-CN"/>
              </w:rPr>
              <w:t>2.</w:t>
            </w:r>
            <w:r>
              <w:rPr>
                <w:rFonts w:hint="eastAsia" w:ascii="仿宋" w:hAnsi="仿宋" w:eastAsia="仿宋" w:cs="方正仿宋_GBK"/>
                <w:bCs/>
                <w:snapToGrid w:val="0"/>
                <w:sz w:val="24"/>
                <w:szCs w:val="24"/>
                <w:highlight w:val="none"/>
              </w:rPr>
              <w:t>有效的资质等级证书</w:t>
            </w:r>
            <w:r>
              <w:rPr>
                <w:rFonts w:hint="eastAsia" w:ascii="仿宋" w:hAnsi="仿宋" w:eastAsia="仿宋" w:cs="方正仿宋_GBK"/>
                <w:bCs/>
                <w:snapToGrid w:val="0"/>
                <w:sz w:val="24"/>
                <w:szCs w:val="24"/>
                <w:highlight w:val="none"/>
                <w:lang w:eastAsia="zh-CN"/>
              </w:rPr>
              <w:t>：</w:t>
            </w:r>
            <w:r>
              <w:rPr>
                <w:rFonts w:hint="eastAsia" w:ascii="仿宋" w:hAnsi="仿宋" w:eastAsia="仿宋" w:cs="方正仿宋_GBK"/>
                <w:bCs/>
                <w:snapToGrid w:val="0"/>
                <w:sz w:val="24"/>
                <w:szCs w:val="24"/>
                <w:highlight w:val="none"/>
              </w:rPr>
              <w:t>需提供有效的ISO9000系列质量管理体系认证证书</w:t>
            </w:r>
            <w:r>
              <w:rPr>
                <w:rFonts w:hint="eastAsia" w:ascii="仿宋" w:hAnsi="仿宋" w:eastAsia="仿宋" w:cs="方正仿宋_GBK"/>
                <w:bCs/>
                <w:snapToGrid w:val="0"/>
                <w:sz w:val="24"/>
                <w:szCs w:val="24"/>
                <w:highlight w:val="none"/>
                <w:lang w:eastAsia="zh-CN"/>
              </w:rPr>
              <w:t>。</w:t>
            </w:r>
          </w:p>
        </w:tc>
        <w:tc>
          <w:tcPr>
            <w:tcW w:w="754" w:type="pct"/>
            <w:vAlign w:val="center"/>
          </w:tcPr>
          <w:p>
            <w:pPr>
              <w:autoSpaceDN w:val="0"/>
              <w:jc w:val="center"/>
              <w:rPr>
                <w:rFonts w:hint="eastAsia" w:ascii="仿宋" w:hAnsi="仿宋" w:eastAsia="仿宋" w:cs="方正仿宋_GBK"/>
                <w:bCs/>
                <w:snapToGrid w:val="0"/>
                <w:sz w:val="24"/>
                <w:szCs w:val="24"/>
                <w:highlight w:val="none"/>
                <w:lang w:eastAsia="zh-CN"/>
              </w:rPr>
            </w:pPr>
            <w:r>
              <w:rPr>
                <w:rFonts w:hint="eastAsia" w:ascii="仿宋" w:hAnsi="仿宋" w:eastAsia="仿宋" w:cs="方正仿宋_GBK"/>
                <w:bCs/>
                <w:snapToGrid w:val="0"/>
                <w:sz w:val="24"/>
                <w:szCs w:val="24"/>
                <w:highlight w:val="none"/>
              </w:rPr>
              <w:t>完成过与招标项目相类似的同等或以上技术要求的项目</w:t>
            </w:r>
            <w:r>
              <w:rPr>
                <w:rFonts w:hint="eastAsia" w:ascii="仿宋" w:hAnsi="仿宋" w:eastAsia="仿宋" w:cs="方正仿宋_GBK"/>
                <w:bCs/>
                <w:snapToGrid w:val="0"/>
                <w:sz w:val="24"/>
                <w:szCs w:val="24"/>
                <w:highlight w:val="none"/>
                <w:lang w:eastAsia="zh-CN"/>
              </w:rPr>
              <w:t>：</w:t>
            </w:r>
            <w:r>
              <w:rPr>
                <w:rFonts w:hint="eastAsia" w:ascii="仿宋" w:hAnsi="仿宋" w:eastAsia="仿宋" w:cs="方正仿宋_GBK"/>
                <w:bCs/>
                <w:snapToGrid w:val="0"/>
                <w:sz w:val="24"/>
                <w:szCs w:val="24"/>
                <w:highlight w:val="none"/>
              </w:rPr>
              <w:t>2019年1月1日至招标公告发布日具有2个及以上信息数据处理或信息系统开发业绩。注：业绩必须提供对应的合同复印件。</w:t>
            </w:r>
          </w:p>
        </w:tc>
        <w:tc>
          <w:tcPr>
            <w:tcW w:w="494" w:type="pct"/>
            <w:vAlign w:val="center"/>
          </w:tcPr>
          <w:p>
            <w:pPr>
              <w:autoSpaceDN w:val="0"/>
              <w:jc w:val="center"/>
              <w:rPr>
                <w:rFonts w:hint="default" w:ascii="仿宋" w:hAnsi="仿宋" w:eastAsia="仿宋" w:cs="方正仿宋_GBK"/>
                <w:bCs/>
                <w:snapToGrid w:val="0"/>
                <w:sz w:val="24"/>
                <w:szCs w:val="24"/>
                <w:highlight w:val="none"/>
                <w:lang w:val="en-US" w:eastAsia="zh-CN"/>
              </w:rPr>
            </w:pPr>
            <w:r>
              <w:rPr>
                <w:rFonts w:hint="eastAsia" w:ascii="仿宋" w:hAnsi="仿宋" w:eastAsia="仿宋" w:cs="方正仿宋_GBK"/>
                <w:bCs/>
                <w:snapToGrid w:val="0"/>
                <w:sz w:val="24"/>
                <w:szCs w:val="24"/>
                <w:highlight w:val="none"/>
                <w:lang w:val="en-US" w:eastAsia="zh-CN"/>
              </w:rPr>
              <w:t>0.6</w:t>
            </w:r>
          </w:p>
        </w:tc>
      </w:tr>
    </w:tbl>
    <w:p>
      <w:pPr>
        <w:rPr>
          <w:rFonts w:hint="eastAsia"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具体维修服务不局限于上述需求一览表。</w:t>
      </w:r>
    </w:p>
    <w:p>
      <w:pP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备注：</w:t>
      </w:r>
    </w:p>
    <w:p>
      <w:pP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default"/>
          <w:highlight w:val="none"/>
          <w:lang w:val="en-US" w:eastAsia="zh-CN"/>
        </w:rPr>
      </w:pPr>
      <w:r>
        <w:rPr>
          <w:rFonts w:hint="eastAsia" w:ascii="仿宋" w:hAnsi="仿宋" w:eastAsia="仿宋"/>
          <w:color w:val="000000" w:themeColor="text1"/>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wNjJhMjRjNDdiZDcxN2YwM2E3NTkwZGEwYzQ4ZjM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5DE2E7F"/>
    <w:rsid w:val="06816373"/>
    <w:rsid w:val="0876413A"/>
    <w:rsid w:val="08912845"/>
    <w:rsid w:val="089F22C8"/>
    <w:rsid w:val="0906460D"/>
    <w:rsid w:val="093C5402"/>
    <w:rsid w:val="09981FC5"/>
    <w:rsid w:val="09E04429"/>
    <w:rsid w:val="0A3001E0"/>
    <w:rsid w:val="0BC04CF3"/>
    <w:rsid w:val="0CDB468D"/>
    <w:rsid w:val="0DB95E90"/>
    <w:rsid w:val="0EA12E42"/>
    <w:rsid w:val="0F2134B8"/>
    <w:rsid w:val="0F853369"/>
    <w:rsid w:val="0FB1516E"/>
    <w:rsid w:val="11FC0675"/>
    <w:rsid w:val="146D2DFE"/>
    <w:rsid w:val="14EE61CB"/>
    <w:rsid w:val="167F68EE"/>
    <w:rsid w:val="169A6592"/>
    <w:rsid w:val="183F7C42"/>
    <w:rsid w:val="18D04F26"/>
    <w:rsid w:val="19F57C86"/>
    <w:rsid w:val="1B224D55"/>
    <w:rsid w:val="1B3B1EBB"/>
    <w:rsid w:val="1BCA56F4"/>
    <w:rsid w:val="1BD229BC"/>
    <w:rsid w:val="1C510C82"/>
    <w:rsid w:val="1D514BA0"/>
    <w:rsid w:val="1DE467E9"/>
    <w:rsid w:val="1EF10925"/>
    <w:rsid w:val="1F3D1E63"/>
    <w:rsid w:val="20142DFA"/>
    <w:rsid w:val="203577BE"/>
    <w:rsid w:val="20373F93"/>
    <w:rsid w:val="22D20AD3"/>
    <w:rsid w:val="25E10687"/>
    <w:rsid w:val="26C9733C"/>
    <w:rsid w:val="26D04D02"/>
    <w:rsid w:val="274A6465"/>
    <w:rsid w:val="27BF14E5"/>
    <w:rsid w:val="27E6353A"/>
    <w:rsid w:val="283F1CD8"/>
    <w:rsid w:val="2894561A"/>
    <w:rsid w:val="2910361F"/>
    <w:rsid w:val="292971A3"/>
    <w:rsid w:val="29482F96"/>
    <w:rsid w:val="29E71C19"/>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94E45BA"/>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64B5DCF"/>
    <w:rsid w:val="470E0D4D"/>
    <w:rsid w:val="476A5954"/>
    <w:rsid w:val="494C2758"/>
    <w:rsid w:val="49721EC3"/>
    <w:rsid w:val="49A858B7"/>
    <w:rsid w:val="4A87279D"/>
    <w:rsid w:val="4B567869"/>
    <w:rsid w:val="4BDB43AD"/>
    <w:rsid w:val="4C3B71AC"/>
    <w:rsid w:val="4D444125"/>
    <w:rsid w:val="4DD54703"/>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3033EE"/>
    <w:rsid w:val="5AC040F1"/>
    <w:rsid w:val="5C263591"/>
    <w:rsid w:val="5C3E77E9"/>
    <w:rsid w:val="5C7E3FD1"/>
    <w:rsid w:val="5DA22CDF"/>
    <w:rsid w:val="5EC86D9B"/>
    <w:rsid w:val="5F9C524B"/>
    <w:rsid w:val="5FF27BF4"/>
    <w:rsid w:val="60A05C01"/>
    <w:rsid w:val="62922A0B"/>
    <w:rsid w:val="632B03E5"/>
    <w:rsid w:val="633B3238"/>
    <w:rsid w:val="63400718"/>
    <w:rsid w:val="65870405"/>
    <w:rsid w:val="676906D7"/>
    <w:rsid w:val="692913FD"/>
    <w:rsid w:val="69481F1D"/>
    <w:rsid w:val="6B0033F1"/>
    <w:rsid w:val="6B6E095E"/>
    <w:rsid w:val="6CF1193D"/>
    <w:rsid w:val="6E02774C"/>
    <w:rsid w:val="6E1718FD"/>
    <w:rsid w:val="6F01698A"/>
    <w:rsid w:val="6F654A89"/>
    <w:rsid w:val="7014228B"/>
    <w:rsid w:val="702D53B9"/>
    <w:rsid w:val="703525D6"/>
    <w:rsid w:val="735E7233"/>
    <w:rsid w:val="759E5BF7"/>
    <w:rsid w:val="75FF703D"/>
    <w:rsid w:val="768176EC"/>
    <w:rsid w:val="76861E4C"/>
    <w:rsid w:val="77F03460"/>
    <w:rsid w:val="78305C20"/>
    <w:rsid w:val="786E1F54"/>
    <w:rsid w:val="78E00C4B"/>
    <w:rsid w:val="79285B16"/>
    <w:rsid w:val="7A387BE2"/>
    <w:rsid w:val="7AF431F7"/>
    <w:rsid w:val="7B3A67BA"/>
    <w:rsid w:val="7B624FF7"/>
    <w:rsid w:val="7C071D5E"/>
    <w:rsid w:val="7C1E0984"/>
    <w:rsid w:val="7D0A606C"/>
    <w:rsid w:val="7DF050B2"/>
    <w:rsid w:val="7EA6685A"/>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6"/>
    <w:qFormat/>
    <w:uiPriority w:val="0"/>
    <w:pPr>
      <w:jc w:val="center"/>
      <w:outlineLvl w:val="0"/>
    </w:pPr>
    <w:rPr>
      <w:b/>
      <w:kern w:val="44"/>
      <w:sz w:val="44"/>
    </w:rPr>
  </w:style>
  <w:style w:type="paragraph" w:styleId="5">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semiHidden/>
    <w:qFormat/>
    <w:uiPriority w:val="0"/>
    <w:pPr>
      <w:spacing w:after="12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4"/>
    <w:qFormat/>
    <w:uiPriority w:val="0"/>
    <w:rPr>
      <w:rFonts w:ascii="Times New Roman" w:hAnsi="Times New Roman" w:eastAsia="宋体" w:cs="Times New Roman"/>
      <w:b/>
      <w:kern w:val="44"/>
      <w:sz w:val="44"/>
      <w:szCs w:val="20"/>
    </w:rPr>
  </w:style>
  <w:style w:type="paragraph" w:customStyle="1" w:styleId="17">
    <w:name w:val="本文正文"/>
    <w:basedOn w:val="1"/>
    <w:qFormat/>
    <w:uiPriority w:val="0"/>
    <w:pPr>
      <w:tabs>
        <w:tab w:val="left" w:pos="630"/>
      </w:tabs>
      <w:topLinePunct/>
      <w:adjustRightInd w:val="0"/>
      <w:spacing w:line="360" w:lineRule="exact"/>
    </w:pPr>
    <w:rPr>
      <w:color w:val="000000"/>
    </w:rPr>
  </w:style>
  <w:style w:type="paragraph" w:customStyle="1" w:styleId="18">
    <w:name w:val="Normal_1"/>
    <w:qFormat/>
    <w:uiPriority w:val="0"/>
    <w:pPr>
      <w:widowControl w:val="0"/>
      <w:jc w:val="both"/>
    </w:pPr>
    <w:rPr>
      <w:rFonts w:ascii="Times New Roman" w:hAnsi="Times New Roman" w:eastAsia="宋体" w:cs="Times New Roman"/>
      <w:lang w:val="en-US" w:eastAsia="zh-CN" w:bidi="ar-SA"/>
    </w:rPr>
  </w:style>
  <w:style w:type="character" w:customStyle="1" w:styleId="19">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4779</Words>
  <Characters>5450</Characters>
  <Lines>28</Lines>
  <Paragraphs>8</Paragraphs>
  <TotalTime>0</TotalTime>
  <ScaleCrop>false</ScaleCrop>
  <LinksUpToDate>false</LinksUpToDate>
  <CharactersWithSpaces>5482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邢伯伯哈</cp:lastModifiedBy>
  <dcterms:modified xsi:type="dcterms:W3CDTF">2022-12-21T07:56:40Z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B9D790BC200E42E1852D85AC6EAAB8FA</vt:lpwstr>
  </property>
</Properties>
</file>