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5"/>
        </w:tabs>
        <w:rPr>
          <w:rFonts w:hint="eastAsia"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附件1：采购需求一览表</w:t>
      </w:r>
    </w:p>
    <w:tbl>
      <w:tblPr>
        <w:tblStyle w:val="4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13"/>
        <w:gridCol w:w="4983"/>
        <w:gridCol w:w="456"/>
        <w:gridCol w:w="443"/>
        <w:gridCol w:w="978"/>
        <w:gridCol w:w="679"/>
        <w:gridCol w:w="756"/>
        <w:gridCol w:w="2241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4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服务期/工期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  <w:highlight w:val="none"/>
              </w:rPr>
              <w:t>变电站视频边缘分析系统开发项目</w:t>
            </w:r>
          </w:p>
        </w:tc>
        <w:tc>
          <w:tcPr>
            <w:tcW w:w="1213" w:type="dxa"/>
            <w:shd w:val="clear" w:color="auto" w:fill="auto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实现变电站视频边缘分析系统开发，并与人工智能分析服务集成，提供标准接口功能，实现第三方系统对接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9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核心功能指标：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实现对变电站内国标、非国标监控设备的采集和接入；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提供统一标准的视频输出接口，标准包括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GB/T 28181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、国网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接口协议；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实现变电站站内视频的本地查看及向上级系统传递的级联功能；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实现对变电设备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14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类缺陷、人员行为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类违规的智能识别；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实现对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IPC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的云台控制功能；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核心技术指标：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单服务器千兆网卡支持转发视频路数不低于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200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端到端视频播放延迟≤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800ms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云台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PTZ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控制命令响应延时≤</w:t>
            </w:r>
            <w:r>
              <w:rPr>
                <w:rFonts w:hint="default" w:ascii="仿宋" w:hAnsi="仿宋" w:eastAsia="仿宋"/>
                <w:color w:val="000000"/>
                <w:sz w:val="20"/>
                <w:szCs w:val="20"/>
                <w:highlight w:val="none"/>
              </w:rPr>
              <w:t>500ms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highlight w:val="none"/>
              </w:rPr>
              <w:t>；</w:t>
            </w:r>
          </w:p>
        </w:tc>
        <w:tc>
          <w:tcPr>
            <w:tcW w:w="45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44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供应商要求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年1月1日至招标采购公告发布日止，完成过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系统接口开发或系统升级、开发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项目不少于</w:t>
            </w:r>
            <w:r>
              <w:rPr>
                <w:rFonts w:hint="default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份，累计项目合同额不低于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万。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highlight w:val="none"/>
              </w:rPr>
              <w:t>注：业绩必须提供对应的合同。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仿宋" w:hAnsi="仿宋" w:eastAsia="仿宋"/>
                <w:color w:val="000000"/>
                <w:sz w:val="22"/>
                <w:szCs w:val="22"/>
                <w:highlight w:val="none"/>
              </w:rPr>
              <w:t>1.5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color w:val="000000"/>
          <w:sz w:val="44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pStyle w:val="6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6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6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GNjYWY2NzM4OTIzODAzODE4YjFlYjA3NWMyMDkifQ=="/>
  </w:docVars>
  <w:rsids>
    <w:rsidRoot w:val="293271EC"/>
    <w:rsid w:val="2932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2023-02-06T07:01:00Z</dcterms:created>
  <dc:creator>DELL</dc:creator>
  <cp:lastModifiedBy>DELL</cp:lastModifiedBy>
  <dcterms:modified xsi:type="dcterms:W3CDTF">2023-02-06T07:02:14Z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A61F1786083F404CA266AF55B1E9DA84</vt:lpwstr>
  </property>
</Properties>
</file>