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Arial"/>
          <w:b/>
          <w:bCs/>
          <w:color w:val="000000" w:themeColor="text1"/>
          <w:kern w:val="0"/>
          <w:szCs w:val="21"/>
          <w:highlight w:val="none"/>
        </w:rPr>
      </w:pPr>
      <w:bookmarkStart w:id="1" w:name="_GoBack"/>
      <w:bookmarkEnd w:id="1"/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</w:rPr>
        <w:t>附件1   招标需求一览表</w:t>
      </w:r>
    </w:p>
    <w:tbl>
      <w:tblPr>
        <w:tblStyle w:val="7"/>
        <w:tblpPr w:leftFromText="180" w:rightFromText="180" w:vertAnchor="text" w:horzAnchor="page" w:tblpX="1216" w:tblpY="325"/>
        <w:tblOverlap w:val="never"/>
        <w:tblW w:w="501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997"/>
        <w:gridCol w:w="4689"/>
        <w:gridCol w:w="852"/>
        <w:gridCol w:w="932"/>
        <w:gridCol w:w="769"/>
        <w:gridCol w:w="1268"/>
        <w:gridCol w:w="1838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highlight w:val="none"/>
                <w:lang w:val="en-US" w:eastAsia="zh-CN" w:bidi="ar"/>
              </w:rPr>
            </w:pPr>
            <w:bookmarkStart w:id="0" w:name="商务初评模板"/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主要技术要求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服务期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专用资质要求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专用业绩要求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保证金（万元）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变电站智能巡视系统运维技术服务项目（包一）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属地化运维技术服务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按照招标技术要求，对山东范围内</w:t>
            </w:r>
            <w:r>
              <w:rPr>
                <w:rStyle w:val="15"/>
                <w:highlight w:val="none"/>
                <w:lang w:val="en-US" w:eastAsia="zh-CN" w:bidi="ar"/>
              </w:rPr>
              <w:t>110kV及以上变电站（含特高压及换流站）按年度外包站内运维工作，运维含甲方在本站所投运所有设备（例如：变电站室外巡检机器人、室内轨道机器人、在线智能巡视、隧道机器人等）。对设备常态化日常轮巡，例行体检、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巡检数据校核、点位补充、</w:t>
            </w:r>
            <w:r>
              <w:rPr>
                <w:rStyle w:val="15"/>
                <w:highlight w:val="none"/>
                <w:lang w:val="en-US" w:eastAsia="zh-CN" w:bidi="ar"/>
              </w:rPr>
              <w:t>保养及维修，对设备故障或可能导致设备故障的隐患进行消缺、预置位校准，并对设备软件、硬件及产品进行改进升级等工作，确保设备正常运行且满足客户运维次数要求，按月度输出区域运维报告。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站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91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1.供应商要求:供应商应具有独立订立合同的法人资格。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不接受联合体投标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完成过与招标项目相类似的同等或以上技术要求的项目：2020年1月1日至招标采购公告发布日止，完成过变电站巡视运维项目不少于2份，合同额累计不低于300万。注：业绩必须提供对应的合同复印件。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单次运维技术服务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A类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对除新疆、西藏外其它省份变电站内甲方所投运的所有设备（例如：变电站室外巡检机器人、室内轨道机器人、在线智能巡视、隧道机器人等）提供产品运维消缺，并对站内所包含所有产品例行巡查、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巡检数据校核、点位补充、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保养及维修，对设备故障或可能导致设备故障的隐患进行消缺、预置位校准，并对设备软件、硬件及产品改进升级等工作，排除故障隐患，确保设备稳定运行的现场运维技术服务。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718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单次运维技术服务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B类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按照招标技术要求，对新疆、西藏变电站内甲方所投运的所有设备（例如：变电站室外巡检机器人、室内轨道机器人、在线智能巡视、隧道机器人等）提供产品运维消缺，并对站内所包含所有产品例行巡查、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巡检数据校核、点位补充、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保养及维修，对设备故障或可能导致设备故障的隐患进行消缺、预置位校准，并对设备软件、硬件及产品改进升级等工作，排除故障隐患，确保设备稳定运行的现场运维技术服务。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79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集控值守技术服务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提供月度集控值守技术服务，对集控接入站点远程监盘、远程软件升级及消缺、对故障或可能导致设备故障的隐患进行消缺、预置位校准、输出报表、报告整理、设备故障跟踪、辅助例行巡视跟踪、站端集控配合接入等工作，月度出勤不低于</w:t>
            </w:r>
            <w:r>
              <w:rPr>
                <w:rStyle w:val="15"/>
                <w:highlight w:val="none"/>
                <w:lang w:val="en-US" w:eastAsia="zh-CN" w:bidi="ar"/>
              </w:rPr>
              <w:t>25天，满足客户集控值守需求。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人月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63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综合用工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为完成项目所必须的工作，非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上述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内容的部分，如特殊项目招标未包含的工作内容，业主增加的少量工作，临时增加保电工作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等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，事先经甲方认可后，按技术服务综合工日结算。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工日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247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变电站智能巡视系统运维技术服务项目（包二）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属地化运维技术服务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按照招标技术要求，对山东范围内</w:t>
            </w:r>
            <w:r>
              <w:rPr>
                <w:rStyle w:val="15"/>
                <w:highlight w:val="none"/>
                <w:lang w:val="en-US" w:eastAsia="zh-CN" w:bidi="ar"/>
              </w:rPr>
              <w:t>110kV及以上变电站（含特高压及换流站）按年度外包站内运维工作，运维含甲方在本站所投运所有设备（例如：变电站室外巡检机器人、室内轨道机器人、在线智能巡视、隧道机器人等）。对设备常态化日常轮巡，例行体检、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巡检数据校核、点位补充、</w:t>
            </w:r>
            <w:r>
              <w:rPr>
                <w:rStyle w:val="15"/>
                <w:highlight w:val="none"/>
                <w:lang w:val="en-US" w:eastAsia="zh-CN" w:bidi="ar"/>
              </w:rPr>
              <w:t>保养及维修，对设备故障或可能导致设备故障的隐患进行消缺、预置位校准，并对设备软件、硬件及产品进行改进升级等工作，确保设备正常运行且满足客户运维次数要求，按月度输出区域运维报告。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站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79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1.供应商要求:供应商应具有独立订立合同的法人资格。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不接受联合体投标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完成过与招标项目相类似的同等或以上技术要求的项目：2020年1月1日至招标采购公告发布日止，完成过变电站巡视运维项目不少于2份，合同额累计不低于300万。注：业绩必须提供对应的合同复印件。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单次运维技术服务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A类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对除新疆、西藏外其它省份变电站内甲方所投运的所有设备（例如：变电站室外巡检机器人、室内轨道机器人、在线智能巡视、隧道机器人等）提供产品运维消缺，并对站内所包含所有产品例行巡查、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巡检数据校核、点位补充、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保养及维修，对设备故障或可能导致设备故障的隐患进行消缺、预置位校准，并对设备软件、硬件及产品改进升级等工作，排除故障隐患，确保设备稳定运行的现场运维技术服务。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630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单次运维技术服务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B类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按照招标技术要求，对新疆、西藏变电站内甲方所投运的所有设备（例如：变电站室外巡检机器人、室内轨道机器人、在线智能巡视、隧道机器人等）提供产品运维消缺，并对站内所包含所有产品例行巡查、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巡检数据校核、点位补充、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保养及维修，对设备故障或可能导致设备故障的隐患进行消缺、预置位校准，并对设备软件、硬件及产品改进升级等工作，排除故障隐患，确保设备稳定运行的现场运维技术服务。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70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集控值守技术服务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提供月度集控值守技术服务，对集控接入站点远程监盘、远程软件升级及消缺、对故障或可能导致设备故障的隐患进行消缺、预置位校准、输出报表、报告整理、设备故障跟踪、辅助例行巡视跟踪、站端集控配合接入等工作，月度出勤不低于</w:t>
            </w:r>
            <w:r>
              <w:rPr>
                <w:rStyle w:val="15"/>
                <w:highlight w:val="none"/>
                <w:lang w:val="en-US" w:eastAsia="zh-CN" w:bidi="ar"/>
              </w:rPr>
              <w:t>25天，满足客户集控值守需求。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人月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55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综合用工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为完成项目所必须的工作，非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上述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内容的部分，如特殊项目招标未包含的工作内容，业主增加的少量工作，临时增加保电工作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等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，事先经甲方认可后，按技术服务综合工日结算。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工日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216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变电站智能巡视系统运维技术服务项目（包三）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属地化运维技术服务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按照招标技术要求，对山东范围内</w:t>
            </w:r>
            <w:r>
              <w:rPr>
                <w:rStyle w:val="15"/>
                <w:highlight w:val="none"/>
                <w:lang w:val="en-US" w:eastAsia="zh-CN" w:bidi="ar"/>
              </w:rPr>
              <w:t>110kV及以上变电站（含特高压及换流站）按年度外包站内运维工作，运维含甲方在本站所投运所有设备（例如：变电站室外巡检机器人、室内轨道机器人、在线智能巡视、隧道机器人等）。对设备常态化日常轮巡，例行体检、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巡检数据校核、点位补充、</w:t>
            </w:r>
            <w:r>
              <w:rPr>
                <w:rStyle w:val="15"/>
                <w:highlight w:val="none"/>
                <w:lang w:val="en-US" w:eastAsia="zh-CN" w:bidi="ar"/>
              </w:rPr>
              <w:t>保养及维修，对设备故障或可能导致设备故障的隐患进行消缺、预置位校准，并对设备软件、硬件及产品进行改进升级等工作，确保设备正常运行且满足客户运维次数要求，按月度输出区域运维报告。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站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68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1.供应商要求:供应商应具有独立订立合同的法人资格。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不接受联合体投标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完成过与招标项目相类似的同等或以上技术要求的项目：2020年1月1日至招标采购公告发布日止，完成过变电站巡视运维项目不少于2份，合同额累计不低于300万。注：业绩必须提供对应的合同复印件。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单次运维技术服务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A类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对除新疆、西藏外其它省份变电站内甲方所投运的所有设备（例如：变电站室外巡检机器人、室内轨道机器人、在线智能巡视、隧道机器人等）提供产品运维消缺，并对站内所包含所有产品例行巡查、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巡检数据校核、点位补充、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保养及维修，对设备故障或可能导致设备故障的隐患进行消缺、预置位校准，并对设备软件、硬件及产品改进升级等工作，排除故障隐患，确保设备稳定运行的现场运维技术服务。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540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单次运维技术服务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B类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按照招标技术要求，对新疆、西藏变电站内甲方所投运的所有设备（例如：变电站室外巡检机器人、室内轨道机器人、在线智能巡视、隧道机器人等）提供产品运维消缺，并对站内所包含所有产品例行巡查、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巡检数据校核、点位补充、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保养及维修，对设备故障或可能导致设备故障的隐患进行消缺、预置位校准，并对设备软件、硬件及产品改进升级等工作，排除故障隐患，确保设备稳定运行的现场运维技术服务。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集控值守技术服务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提供月度集控值守技术服务，对集控接入站点远程监盘、远程软件升级及消缺、对故障或可能导致设备故障的隐患进行消缺、预置位校准、输出报表、报告整理、设备故障跟踪、辅助例行巡视跟踪、站端集控配合接入等工作，月度出勤不低于</w:t>
            </w:r>
            <w:r>
              <w:rPr>
                <w:rStyle w:val="15"/>
                <w:highlight w:val="none"/>
                <w:lang w:val="en-US" w:eastAsia="zh-CN" w:bidi="ar"/>
              </w:rPr>
              <w:t>25天，满足客户集控值守需求。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人月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48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综合用工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为完成项目所必须的工作，非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上述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内容的部分，如特殊项目招标未包含的工作内容，业主增加的少量工作，临时增加保电工作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等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，事先经甲方认可后，按技术服务综合工日结算。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工日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185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变电站智能巡视系统运维技术服务项目（包四）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属地化运维技术服务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按照招标技术要求，对山东范围内</w:t>
            </w:r>
            <w:r>
              <w:rPr>
                <w:rStyle w:val="15"/>
                <w:highlight w:val="none"/>
                <w:lang w:val="en-US" w:eastAsia="zh-CN" w:bidi="ar"/>
              </w:rPr>
              <w:t>110kV及以上变电站（含特高压及换流站）按年度外包站内运维工作，运维含甲方在本站所投运所有设备（例如：变电站室外巡检机器人、室内轨道机器人、在线智能巡视、隧道机器人等）。对设备常态化日常轮巡，例行体检、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巡检数据校核、点位补充、</w:t>
            </w:r>
            <w:r>
              <w:rPr>
                <w:rStyle w:val="15"/>
                <w:highlight w:val="none"/>
                <w:lang w:val="en-US" w:eastAsia="zh-CN" w:bidi="ar"/>
              </w:rPr>
              <w:t>保养及维修，对设备故障或可能导致设备故障的隐患进行消缺、预置位校准，并对设备软件、硬件及产品进行改进升级等工作，确保设备正常运行且满足客户运维次数要求，按月度输出区域运维报告。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站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57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1.供应商要求:供应商应具有独立订立合同的法人资格。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不接受联合体投标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完成过与招标项目相类似的同等或以上技术要求的项目：2020年1月1日至招标采购公告发布日止，完成过变电站巡视运维项目不少于2份，合同额累计不低于300万。注：业绩必须提供对应的合同复印件。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单次运维技术服务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A类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对除新疆、西藏外其它省份变电站内甲方所投运的所有设备（例如：变电站室外巡检机器人、室内轨道机器人、在线智能巡视、隧道机器人等）提供产品运维消缺，并对站内所包含所有产品例行巡查、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巡检数据校核、点位补充、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保养及维修，对设备故障或可能导致设备故障的隐患进行消缺、预置位校准，并对设备软件、硬件及产品改进升级等工作，排除故障隐患，确保设备稳定运行的现场运维技术服务。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450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单次运维技术服务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B类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按照招标技术要求，对新疆、西藏变电站内甲方所投运的所有设备（例如：变电站室外巡检机器人、室内轨道机器人、在线智能巡视、隧道机器人等）提供产品运维消缺，并对站内所包含所有产品例行巡查、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巡检数据校核、点位补充、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保养及维修，对设备故障或可能导致设备故障的隐患进行消缺、预置位校准，并对设备软件、硬件及产品改进升级等工作，排除故障隐患，确保设备稳定运行的现场运维技术服务。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49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集控值守技术服务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提供月度集控值守技术服务，对集控接入站点远程监盘、远程软件升级及消缺、对故障或可能导致设备故障的隐患进行消缺、预置位校准、输出报表、报告整理、设备故障跟踪、辅助例行巡视跟踪、站端集控配合接入等工作，月度出勤不低于</w:t>
            </w:r>
            <w:r>
              <w:rPr>
                <w:rStyle w:val="15"/>
                <w:highlight w:val="none"/>
                <w:lang w:val="en-US" w:eastAsia="zh-CN" w:bidi="ar"/>
              </w:rPr>
              <w:t>25天，满足客户集控值守需求。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人月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综合用工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为完成项目所必须的工作，非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上述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内容的部分，如特殊项目招标未包含的工作内容，业主增加的少量工作，临时增加保电工作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等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，事先经甲方认可后，按技术服务综合工日结算。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工日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155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变电站智能巡视系统运维技术服务项目（包五）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属地化运维技术服务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按照招标技术要求，对山东范围内</w:t>
            </w:r>
            <w:r>
              <w:rPr>
                <w:rStyle w:val="15"/>
                <w:highlight w:val="none"/>
                <w:lang w:val="en-US" w:eastAsia="zh-CN" w:bidi="ar"/>
              </w:rPr>
              <w:t>110kV及以上变电站（含特高压及换流站）按年度外包站内运维工作，运维含甲方在本站所投运所有设备（例如：变电站室外巡检机器人、室内轨道机器人、在线智能巡视、隧道机器人等）。对设备常态化日常轮巡，例行体检、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巡检数据校核、点位补充、</w:t>
            </w:r>
            <w:r>
              <w:rPr>
                <w:rStyle w:val="15"/>
                <w:highlight w:val="none"/>
                <w:lang w:val="en-US" w:eastAsia="zh-CN" w:bidi="ar"/>
              </w:rPr>
              <w:t>保养及维修，对设备故障或可能导致设备故障的隐患进行消缺、预置位校准，并对设备软件、硬件及产品进行改进升级等工作，确保设备正常运行且满足客户运维次数要求，按月度输出区域运维报告。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站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1.供应商要求:供应商应具有独立订立合同的法人资格。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不接受联合体投标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完成过与招标项目相类似的同等或以上技术要求的项目：2020年1月1日至招标采购公告发布日止，完成过变电站巡视运维项目不少于2份，合同额累计不低于300万。注：业绩必须提供对应的合同复印件。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单次运维技术服务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A类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对除新疆、西藏外其它省份变电站内甲方所投运的所有设备（例如：变电站室外巡检机器人、室内轨道机器人、在线智能巡视、隧道机器人等）提供产品运维消缺，并对站内所包含所有产品例行巡查、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巡检数据校核、点位补充、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保养及维修，对设备故障或可能导致设备故障的隐患进行消缺、预置位校准，并对设备软件、硬件及产品改进升级等工作，排除故障隐患，确保设备稳定运行的现场运维技术服务。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360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单次运维技术服务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B类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按照招标技术要求，对新疆、西藏变电站内甲方所投运的所有设备（例如：变电站室外巡检机器人、室内轨道机器人、在线智能巡视、隧道机器人等）提供产品运维消缺，并对站内所包含所有产品例行巡查、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巡检数据校核、点位补充、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保养及维修，对设备故障或可能导致设备故障的隐患进行消缺、预置位校准，并对设备软件、硬件及产品改进升级等工作，排除故障隐患，确保设备稳定运行的现场运维技术服务。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集控值守技术服务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提供月度集控值守技术服务，对集控接入站点远程监盘、远程软件升级及消缺、对故障或可能导致设备故障的隐患进行消缺、预置位校准、输出报表、报告整理、设备故障跟踪、辅助例行巡视跟踪、站端集控配合接入等工作，月度出勤不低于</w:t>
            </w:r>
            <w:r>
              <w:rPr>
                <w:rStyle w:val="15"/>
                <w:highlight w:val="none"/>
                <w:lang w:val="en-US" w:eastAsia="zh-CN" w:bidi="ar"/>
              </w:rPr>
              <w:t>25天，满足客户集控值守需求。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人月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综合用工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为完成项目所必须的工作，非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上述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内容的部分，如特殊项目招标未包含的工作内容，业主增加的少量工作，临时增加保电工作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等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，事先经甲方认可后，按技术服务综合工日结算。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工日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124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5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变电站智能巡视系统运维技术服务项目（包六）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属地化运维技术服务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按照招标技术要求，对山东范围内</w:t>
            </w:r>
            <w:r>
              <w:rPr>
                <w:rStyle w:val="15"/>
                <w:highlight w:val="none"/>
                <w:lang w:val="en-US" w:eastAsia="zh-CN" w:bidi="ar"/>
              </w:rPr>
              <w:t>110kV及以上变电站（含特高压及换流站）按年度外包站内运维工作，运维含甲方在本站所投运所有设备（例如：变电站室外巡检机器人、室内轨道机器人、在线智能巡视、隧道机器人等）。对设备常态化日常轮巡，例行体检、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巡检数据校核、点位补充、</w:t>
            </w:r>
            <w:r>
              <w:rPr>
                <w:rStyle w:val="15"/>
                <w:highlight w:val="none"/>
                <w:lang w:val="en-US" w:eastAsia="zh-CN" w:bidi="ar"/>
              </w:rPr>
              <w:t>保养及维修，对设备故障或可能导致设备故障的隐患进行消缺、预置位校准，并对设备软件、硬件及产品进行改进升级等工作，确保设备正常运行且满足客户运维次数要求，按月度输出区域运维报告。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站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1.供应商要求:供应商应具有独立订立合同的法人资格。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不接受联合体投标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完成过与招标项目相类似的同等或以上技术要求的项目：2020年1月1日至招标采购公告发布日止，完成过变电站巡视运维项目不少于2份，合同额累计不低于300万。注：业绩必须提供对应的合同复印件。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单次运维技术服务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A类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对除新疆、西藏外其它省份变电站内甲方所投运的所有设备（例如：变电站室外巡检机器人、室内轨道机器人、在线智能巡视、隧道机器人等）提供产品运维消缺，并对站内所包含所有产品例行巡查、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巡检数据校核、点位补充、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保养及维修，对设备故障或可能导致设备故障的隐患进行消缺、预置位校准，并对设备软件、硬件及产品改进升级等工作，排除故障隐患，确保设备稳定运行的现场运维技术服务。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300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单次运维技术服务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B类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按照招标技术要求，对新疆、西藏变电站内甲方所投运的所有设备（例如：变电站室外巡检机器人、室内轨道机器人、在线智能巡视、隧道机器人等）提供产品运维消缺，并对站内所包含所有产品例行巡查、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巡检数据校核、点位补充、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保养及维修，对设备故障或可能导致设备故障的隐患进行消缺、预置位校准，并对设备软件、硬件及产品改进升级等工作，排除故障隐患，确保设备稳定运行的现场运维技术服务。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次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集控值守技术服务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按照招标技术要求，提供月度集控值守技术服务，对集控接入站点远程监盘、远程软件升级及消缺、对故障或可能导致设备故障的隐患进行消缺、预置位校准、输出报表、报告整理、设备故障跟踪、辅助例行巡视跟踪、站端集控配合接入等工作，月度出勤不低于</w:t>
            </w:r>
            <w:r>
              <w:rPr>
                <w:rStyle w:val="15"/>
                <w:highlight w:val="none"/>
                <w:lang w:val="en-US" w:eastAsia="zh-CN" w:bidi="ar"/>
              </w:rPr>
              <w:t>25天，满足客户集控值守需求。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人月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5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综合用工</w:t>
            </w:r>
          </w:p>
        </w:tc>
        <w:tc>
          <w:tcPr>
            <w:tcW w:w="1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为完成项目所必须的工作，非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上述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内容的部分，如特殊项目招标未包含的工作内容，业主增加的少量工作，临时增加保电工作</w:t>
            </w:r>
            <w:r>
              <w:rPr>
                <w:rStyle w:val="15"/>
                <w:rFonts w:hint="default"/>
                <w:highlight w:val="none"/>
                <w:lang w:val="en-US" w:eastAsia="zh-CN" w:bidi="ar"/>
              </w:rPr>
              <w:t>等</w:t>
            </w: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，事先经甲方认可后，按技术服务综合工日结算。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工日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103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/>
                <w:highlight w:val="none"/>
                <w:lang w:val="en-US" w:eastAsia="zh-CN" w:bidi="ar"/>
              </w:rPr>
              <w:t>1年</w:t>
            </w:r>
          </w:p>
        </w:tc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  <w:tc>
          <w:tcPr>
            <w:tcW w:w="4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rFonts w:hint="eastAsia"/>
                <w:highlight w:val="none"/>
                <w:lang w:val="en-US" w:eastAsia="zh-CN" w:bidi="ar"/>
              </w:rPr>
            </w:pPr>
          </w:p>
        </w:tc>
      </w:tr>
    </w:tbl>
    <w:p>
      <w:pPr>
        <w:pStyle w:val="13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  <w:lang w:eastAsia="zh-CN"/>
        </w:rPr>
        <w:t>具体服务不局限于上述需求一览表。应包括上述服务相关延伸服务及产品，类似升级服务及相关产品。</w:t>
      </w:r>
    </w:p>
    <w:bookmarkEnd w:id="0"/>
    <w:p>
      <w:pPr>
        <w:spacing w:line="240" w:lineRule="auto"/>
        <w:rPr>
          <w:rFonts w:ascii="仿宋" w:hAnsi="仿宋" w:eastAsia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备注：</w:t>
      </w:r>
    </w:p>
    <w:p>
      <w:pPr>
        <w:spacing w:line="240" w:lineRule="auto"/>
        <w:rPr>
          <w:rFonts w:ascii="仿宋" w:hAnsi="仿宋" w:eastAsia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highlight w:val="none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TE0MzIzMTQwNjNjMjhkYTc4ZjlhMTk4Yjc1MjgifQ=="/>
  </w:docVars>
  <w:rsids>
    <w:rsidRoot w:val="00F07759"/>
    <w:rsid w:val="00087175"/>
    <w:rsid w:val="000E5393"/>
    <w:rsid w:val="0012775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AD3528"/>
    <w:rsid w:val="01B506E8"/>
    <w:rsid w:val="02381A41"/>
    <w:rsid w:val="024E0501"/>
    <w:rsid w:val="042B3D4F"/>
    <w:rsid w:val="04E72BB1"/>
    <w:rsid w:val="05CA21F9"/>
    <w:rsid w:val="05D654CD"/>
    <w:rsid w:val="06285707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D7E729B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A97DE2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19C4862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34607D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CAB1F8D"/>
    <w:rsid w:val="2DFF4C45"/>
    <w:rsid w:val="2E0C1AB8"/>
    <w:rsid w:val="2E2D7AE9"/>
    <w:rsid w:val="2E3D58F0"/>
    <w:rsid w:val="2F380C61"/>
    <w:rsid w:val="2FB322B7"/>
    <w:rsid w:val="2FC84E3A"/>
    <w:rsid w:val="31A61791"/>
    <w:rsid w:val="31C56881"/>
    <w:rsid w:val="31D73940"/>
    <w:rsid w:val="33B10D29"/>
    <w:rsid w:val="34766267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245E62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4B3A6E"/>
    <w:rsid w:val="40687B37"/>
    <w:rsid w:val="40884242"/>
    <w:rsid w:val="40950B98"/>
    <w:rsid w:val="40CF0912"/>
    <w:rsid w:val="414D39CE"/>
    <w:rsid w:val="41D73C80"/>
    <w:rsid w:val="431C5F81"/>
    <w:rsid w:val="43225F59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B9C1BBE"/>
    <w:rsid w:val="4BE1690E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1A14A5"/>
    <w:rsid w:val="55D44BA1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DF94D6D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1A6130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AA67BF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0F40FC"/>
    <w:rsid w:val="792B0B52"/>
    <w:rsid w:val="7AA82E41"/>
    <w:rsid w:val="7BD81B9B"/>
    <w:rsid w:val="7CA47EC1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1</TotalTime>
  <ScaleCrop>false</ScaleCrop>
  <LinksUpToDate>false</LinksUpToDate>
  <CharactersWithSpaces>4004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WPS_1671083447</cp:lastModifiedBy>
  <dcterms:modified xsi:type="dcterms:W3CDTF">2023-03-09T12:49:00Z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308DE901132F4A7A889B1EC36B71400C</vt:lpwstr>
  </property>
</Properties>
</file>