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rPr>
          <w:rFonts w:hint="eastAsia" w:ascii="仿宋" w:hAnsi="仿宋" w:eastAsia="仿宋"/>
          <w:b/>
          <w:color w:val="auto"/>
          <w:sz w:val="24"/>
          <w:szCs w:val="24"/>
          <w:highlight w:val="none"/>
        </w:rPr>
      </w:pPr>
      <w:bookmarkStart w:id="2" w:name="_GoBack"/>
      <w:bookmarkEnd w:id="2"/>
      <w:r>
        <w:rPr>
          <w:rFonts w:hint="eastAsia" w:ascii="仿宋" w:hAnsi="仿宋" w:eastAsia="仿宋"/>
          <w:b/>
          <w:color w:val="auto"/>
          <w:sz w:val="24"/>
          <w:szCs w:val="24"/>
          <w:highlight w:val="none"/>
        </w:rPr>
        <w:t>附件1   招标需求一览表</w:t>
      </w:r>
    </w:p>
    <w:p>
      <w:pPr>
        <w:pStyle w:val="16"/>
        <w:rPr>
          <w:rFonts w:hint="default" w:ascii="仿宋" w:hAnsi="仿宋" w:eastAsia="仿宋"/>
          <w:b/>
          <w:color w:val="auto"/>
          <w:sz w:val="24"/>
          <w:szCs w:val="24"/>
          <w:highlight w:val="none"/>
          <w:lang w:val="en-US" w:eastAsia="zh-CN"/>
        </w:rPr>
      </w:pPr>
      <w:r>
        <w:rPr>
          <w:rFonts w:hint="eastAsia" w:ascii="仿宋" w:hAnsi="仿宋" w:eastAsia="仿宋"/>
          <w:b/>
          <w:color w:val="auto"/>
          <w:sz w:val="24"/>
          <w:szCs w:val="24"/>
          <w:highlight w:val="none"/>
          <w:lang w:val="en-US" w:eastAsia="zh-CN"/>
        </w:rPr>
        <w:t>分标一：自动化处理插件及板卡采购项目</w:t>
      </w:r>
    </w:p>
    <w:tbl>
      <w:tblPr>
        <w:tblStyle w:val="8"/>
        <w:tblW w:w="138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2833"/>
        <w:gridCol w:w="590"/>
        <w:gridCol w:w="876"/>
        <w:gridCol w:w="888"/>
        <w:gridCol w:w="888"/>
        <w:gridCol w:w="940"/>
        <w:gridCol w:w="2520"/>
        <w:gridCol w:w="1965"/>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385" w:type="dxa"/>
            <w:shd w:val="clear" w:color="auto" w:fill="auto"/>
            <w:vAlign w:val="center"/>
          </w:tcPr>
          <w:p>
            <w:pPr>
              <w:widowControl/>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项目名称及包号</w:t>
            </w:r>
          </w:p>
        </w:tc>
        <w:tc>
          <w:tcPr>
            <w:tcW w:w="2833" w:type="dxa"/>
            <w:shd w:val="clear" w:color="auto" w:fill="auto"/>
            <w:vAlign w:val="center"/>
          </w:tcPr>
          <w:p>
            <w:pPr>
              <w:widowControl/>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主要技术要求</w:t>
            </w:r>
          </w:p>
        </w:tc>
        <w:tc>
          <w:tcPr>
            <w:tcW w:w="590" w:type="dxa"/>
            <w:shd w:val="clear" w:color="auto" w:fill="auto"/>
            <w:vAlign w:val="center"/>
          </w:tcPr>
          <w:p>
            <w:pPr>
              <w:widowControl/>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单位</w:t>
            </w:r>
          </w:p>
        </w:tc>
        <w:tc>
          <w:tcPr>
            <w:tcW w:w="876" w:type="dxa"/>
            <w:shd w:val="clear" w:color="auto" w:fill="auto"/>
            <w:vAlign w:val="center"/>
          </w:tcPr>
          <w:p>
            <w:pPr>
              <w:widowControl/>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数量</w:t>
            </w:r>
          </w:p>
        </w:tc>
        <w:tc>
          <w:tcPr>
            <w:tcW w:w="888" w:type="dxa"/>
            <w:shd w:val="clear" w:color="auto" w:fill="auto"/>
            <w:vAlign w:val="center"/>
          </w:tcPr>
          <w:p>
            <w:pPr>
              <w:widowControl/>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交货日期</w:t>
            </w:r>
          </w:p>
        </w:tc>
        <w:tc>
          <w:tcPr>
            <w:tcW w:w="888" w:type="dxa"/>
            <w:vAlign w:val="center"/>
          </w:tcPr>
          <w:p>
            <w:pPr>
              <w:widowControl/>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质保期</w:t>
            </w:r>
          </w:p>
        </w:tc>
        <w:tc>
          <w:tcPr>
            <w:tcW w:w="940" w:type="dxa"/>
            <w:shd w:val="clear" w:color="auto" w:fill="auto"/>
            <w:vAlign w:val="center"/>
          </w:tcPr>
          <w:p>
            <w:pPr>
              <w:widowControl/>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交货地点</w:t>
            </w:r>
          </w:p>
        </w:tc>
        <w:tc>
          <w:tcPr>
            <w:tcW w:w="2520" w:type="dxa"/>
            <w:shd w:val="clear" w:color="auto" w:fill="auto"/>
            <w:vAlign w:val="center"/>
          </w:tcPr>
          <w:p>
            <w:pPr>
              <w:widowControl/>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lang w:val="en-US" w:eastAsia="zh-CN"/>
              </w:rPr>
              <w:t>专用资质要求</w:t>
            </w:r>
          </w:p>
        </w:tc>
        <w:tc>
          <w:tcPr>
            <w:tcW w:w="1965" w:type="dxa"/>
            <w:shd w:val="clear" w:color="auto" w:fill="auto"/>
            <w:vAlign w:val="center"/>
          </w:tcPr>
          <w:p>
            <w:pPr>
              <w:widowControl/>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lang w:val="en-US" w:eastAsia="zh-CN"/>
              </w:rPr>
              <w:t>专用业绩要求</w:t>
            </w:r>
          </w:p>
        </w:tc>
        <w:tc>
          <w:tcPr>
            <w:tcW w:w="945" w:type="dxa"/>
            <w:shd w:val="clear" w:color="auto" w:fill="auto"/>
            <w:vAlign w:val="center"/>
          </w:tcPr>
          <w:p>
            <w:pPr>
              <w:widowControl/>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lang w:val="en-US" w:eastAsia="zh-CN"/>
              </w:rPr>
              <w:t>保证金（万元）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85" w:type="dxa"/>
            <w:shd w:val="clear" w:color="auto" w:fill="auto"/>
            <w:vAlign w:val="center"/>
          </w:tcPr>
          <w:p>
            <w:pPr>
              <w:widowControl/>
              <w:jc w:val="center"/>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自动化处理插件及板卡采购项目</w:t>
            </w:r>
          </w:p>
        </w:tc>
        <w:tc>
          <w:tcPr>
            <w:tcW w:w="2833" w:type="dxa"/>
            <w:shd w:val="clear" w:color="auto" w:fill="auto"/>
            <w:vAlign w:val="center"/>
          </w:tcPr>
          <w:p>
            <w:pPr>
              <w:widowControl/>
              <w:jc w:val="center"/>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精确测量范围</w:t>
            </w:r>
          </w:p>
          <w:p>
            <w:pPr>
              <w:widowControl/>
              <w:jc w:val="center"/>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电流: 0.01In~40In</w:t>
            </w:r>
          </w:p>
          <w:p>
            <w:pPr>
              <w:widowControl/>
              <w:jc w:val="center"/>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电压: 0.01V~120V等</w:t>
            </w:r>
          </w:p>
        </w:tc>
        <w:tc>
          <w:tcPr>
            <w:tcW w:w="590" w:type="dxa"/>
            <w:shd w:val="clear" w:color="000000" w:fill="FFFFFF"/>
            <w:vAlign w:val="center"/>
          </w:tcPr>
          <w:p>
            <w:pPr>
              <w:widowControl/>
              <w:jc w:val="center"/>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台</w:t>
            </w:r>
          </w:p>
        </w:tc>
        <w:tc>
          <w:tcPr>
            <w:tcW w:w="876" w:type="dxa"/>
            <w:shd w:val="clear" w:color="000000" w:fill="FFFFFF"/>
            <w:vAlign w:val="center"/>
          </w:tcPr>
          <w:p>
            <w:pPr>
              <w:widowControl/>
              <w:jc w:val="center"/>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2</w:t>
            </w:r>
            <w:r>
              <w:rPr>
                <w:rFonts w:ascii="仿宋" w:hAnsi="仿宋" w:eastAsia="仿宋" w:cs="Arial"/>
                <w:color w:val="auto"/>
                <w:kern w:val="0"/>
                <w:sz w:val="22"/>
                <w:szCs w:val="22"/>
                <w:highlight w:val="none"/>
              </w:rPr>
              <w:t>350</w:t>
            </w:r>
          </w:p>
        </w:tc>
        <w:tc>
          <w:tcPr>
            <w:tcW w:w="888" w:type="dxa"/>
            <w:shd w:val="clear" w:color="auto" w:fill="auto"/>
            <w:vAlign w:val="center"/>
          </w:tcPr>
          <w:p>
            <w:pPr>
              <w:widowControl/>
              <w:jc w:val="center"/>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接到供货通知后20日内</w:t>
            </w:r>
          </w:p>
        </w:tc>
        <w:tc>
          <w:tcPr>
            <w:tcW w:w="888" w:type="dxa"/>
            <w:vAlign w:val="center"/>
          </w:tcPr>
          <w:p>
            <w:pPr>
              <w:widowControl/>
              <w:jc w:val="center"/>
              <w:rPr>
                <w:rFonts w:ascii="仿宋" w:hAnsi="仿宋" w:eastAsia="仿宋" w:cs="Arial"/>
                <w:color w:val="auto"/>
                <w:kern w:val="0"/>
                <w:sz w:val="22"/>
                <w:szCs w:val="22"/>
                <w:highlight w:val="none"/>
              </w:rPr>
            </w:pPr>
            <w:r>
              <w:rPr>
                <w:rFonts w:ascii="仿宋" w:hAnsi="仿宋" w:eastAsia="仿宋" w:cs="Arial"/>
                <w:color w:val="auto"/>
                <w:kern w:val="0"/>
                <w:sz w:val="22"/>
                <w:szCs w:val="22"/>
                <w:highlight w:val="none"/>
              </w:rPr>
              <w:t>5</w:t>
            </w:r>
            <w:r>
              <w:rPr>
                <w:rFonts w:hint="eastAsia" w:ascii="仿宋" w:hAnsi="仿宋" w:eastAsia="仿宋" w:cs="Arial"/>
                <w:color w:val="auto"/>
                <w:kern w:val="0"/>
                <w:sz w:val="22"/>
                <w:szCs w:val="22"/>
                <w:highlight w:val="none"/>
              </w:rPr>
              <w:t>年</w:t>
            </w:r>
          </w:p>
        </w:tc>
        <w:tc>
          <w:tcPr>
            <w:tcW w:w="940" w:type="dxa"/>
            <w:shd w:val="clear" w:color="auto" w:fill="auto"/>
            <w:vAlign w:val="center"/>
          </w:tcPr>
          <w:p>
            <w:pPr>
              <w:widowControl/>
              <w:jc w:val="center"/>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买方指定仓库地面交货</w:t>
            </w:r>
          </w:p>
        </w:tc>
        <w:tc>
          <w:tcPr>
            <w:tcW w:w="2520" w:type="dxa"/>
            <w:shd w:val="clear" w:color="auto" w:fill="auto"/>
            <w:vAlign w:val="center"/>
          </w:tcPr>
          <w:p>
            <w:pPr>
              <w:widowControl/>
              <w:jc w:val="center"/>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val="en-US" w:eastAsia="zh-CN"/>
              </w:rPr>
              <w:t>1.</w:t>
            </w:r>
            <w:r>
              <w:rPr>
                <w:rFonts w:hint="eastAsia" w:ascii="仿宋" w:hAnsi="仿宋" w:eastAsia="仿宋" w:cs="Arial"/>
                <w:color w:val="auto"/>
                <w:kern w:val="0"/>
                <w:sz w:val="22"/>
                <w:szCs w:val="22"/>
                <w:highlight w:val="none"/>
              </w:rPr>
              <w:t>厂商要求</w:t>
            </w:r>
            <w:r>
              <w:rPr>
                <w:rFonts w:hint="eastAsia" w:ascii="仿宋" w:hAnsi="仿宋" w:eastAsia="仿宋" w:cs="Arial"/>
                <w:color w:val="auto"/>
                <w:kern w:val="0"/>
                <w:sz w:val="22"/>
                <w:szCs w:val="22"/>
                <w:highlight w:val="none"/>
                <w:lang w:eastAsia="zh-CN"/>
              </w:rPr>
              <w:t>：</w:t>
            </w:r>
            <w:r>
              <w:rPr>
                <w:rFonts w:hint="eastAsia" w:ascii="仿宋" w:hAnsi="仿宋" w:eastAsia="仿宋" w:cs="Arial"/>
                <w:color w:val="auto"/>
                <w:kern w:val="0"/>
                <w:sz w:val="22"/>
                <w:szCs w:val="22"/>
                <w:highlight w:val="none"/>
              </w:rPr>
              <w:t>制造商</w:t>
            </w:r>
            <w:r>
              <w:rPr>
                <w:rFonts w:hint="eastAsia" w:ascii="仿宋" w:hAnsi="仿宋" w:eastAsia="仿宋" w:cs="Arial"/>
                <w:color w:val="auto"/>
                <w:kern w:val="0"/>
                <w:sz w:val="22"/>
                <w:szCs w:val="22"/>
                <w:highlight w:val="none"/>
                <w:lang w:eastAsia="zh-CN"/>
              </w:rPr>
              <w:t>；</w:t>
            </w:r>
          </w:p>
          <w:p>
            <w:pPr>
              <w:widowControl/>
              <w:jc w:val="left"/>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val="en-US" w:eastAsia="zh-CN"/>
              </w:rPr>
              <w:t>2.</w:t>
            </w:r>
            <w:r>
              <w:rPr>
                <w:rFonts w:hint="eastAsia" w:ascii="仿宋" w:hAnsi="仿宋" w:eastAsia="仿宋" w:cs="Arial"/>
                <w:color w:val="auto"/>
                <w:kern w:val="0"/>
                <w:sz w:val="22"/>
                <w:szCs w:val="22"/>
                <w:highlight w:val="none"/>
              </w:rPr>
              <w:t>认证证书</w:t>
            </w:r>
            <w:r>
              <w:rPr>
                <w:rFonts w:hint="eastAsia" w:ascii="仿宋" w:hAnsi="仿宋" w:eastAsia="仿宋" w:cs="Arial"/>
                <w:color w:val="auto"/>
                <w:kern w:val="0"/>
                <w:sz w:val="22"/>
                <w:szCs w:val="22"/>
                <w:highlight w:val="none"/>
                <w:lang w:eastAsia="zh-CN"/>
              </w:rPr>
              <w:t>：</w:t>
            </w:r>
            <w:r>
              <w:rPr>
                <w:rFonts w:hint="eastAsia" w:ascii="仿宋" w:hAnsi="仿宋" w:eastAsia="仿宋" w:cs="Arial"/>
                <w:color w:val="auto"/>
                <w:kern w:val="0"/>
                <w:sz w:val="22"/>
                <w:szCs w:val="22"/>
                <w:highlight w:val="none"/>
              </w:rPr>
              <w:t>提供有效的ISO9000系列质量管理体系认证证书</w:t>
            </w:r>
            <w:r>
              <w:rPr>
                <w:rFonts w:hint="eastAsia" w:ascii="仿宋" w:hAnsi="仿宋" w:eastAsia="仿宋" w:cs="Arial"/>
                <w:color w:val="auto"/>
                <w:kern w:val="0"/>
                <w:sz w:val="22"/>
                <w:szCs w:val="22"/>
                <w:highlight w:val="none"/>
                <w:lang w:eastAsia="zh-CN"/>
              </w:rPr>
              <w:t>；</w:t>
            </w:r>
          </w:p>
          <w:p>
            <w:pPr>
              <w:widowControl/>
              <w:jc w:val="left"/>
              <w:rPr>
                <w:rFonts w:hint="eastAsia"/>
                <w:color w:val="auto"/>
                <w:highlight w:val="none"/>
                <w:lang w:eastAsia="zh-CN"/>
              </w:rPr>
            </w:pPr>
            <w:r>
              <w:rPr>
                <w:rFonts w:hint="eastAsia" w:ascii="仿宋" w:hAnsi="仿宋" w:eastAsia="仿宋" w:cs="Arial"/>
                <w:color w:val="auto"/>
                <w:kern w:val="0"/>
                <w:sz w:val="22"/>
                <w:szCs w:val="22"/>
                <w:highlight w:val="none"/>
                <w:lang w:val="en-US" w:eastAsia="zh-CN"/>
              </w:rPr>
              <w:t>3.</w:t>
            </w:r>
            <w:r>
              <w:rPr>
                <w:rFonts w:hint="eastAsia" w:ascii="仿宋" w:hAnsi="仿宋" w:eastAsia="仿宋" w:cs="Arial"/>
                <w:color w:val="auto"/>
                <w:kern w:val="0"/>
                <w:sz w:val="22"/>
                <w:szCs w:val="22"/>
                <w:highlight w:val="none"/>
              </w:rPr>
              <w:t>产品型式试验报告或检测报告或鉴定报告</w:t>
            </w:r>
            <w:r>
              <w:rPr>
                <w:rFonts w:hint="eastAsia" w:ascii="仿宋" w:hAnsi="仿宋" w:eastAsia="仿宋" w:cs="Arial"/>
                <w:color w:val="auto"/>
                <w:kern w:val="0"/>
                <w:sz w:val="22"/>
                <w:szCs w:val="22"/>
                <w:highlight w:val="none"/>
                <w:lang w:eastAsia="zh-CN"/>
              </w:rPr>
              <w:t>：</w:t>
            </w:r>
            <w:bookmarkStart w:id="0" w:name="_Hlk108184837"/>
            <w:r>
              <w:rPr>
                <w:rFonts w:hint="eastAsia" w:ascii="仿宋" w:hAnsi="仿宋" w:eastAsia="仿宋" w:cs="Arial"/>
                <w:color w:val="auto"/>
                <w:kern w:val="0"/>
                <w:sz w:val="22"/>
                <w:szCs w:val="22"/>
                <w:highlight w:val="none"/>
              </w:rPr>
              <w:t>投标人应提供同类产品的国家认可第三方检测机构出具的有效的型式试验报告</w:t>
            </w:r>
            <w:bookmarkEnd w:id="0"/>
            <w:r>
              <w:rPr>
                <w:rFonts w:hint="eastAsia" w:ascii="仿宋" w:hAnsi="仿宋" w:eastAsia="仿宋" w:cs="Arial"/>
                <w:color w:val="auto"/>
                <w:kern w:val="0"/>
                <w:sz w:val="22"/>
                <w:szCs w:val="22"/>
                <w:highlight w:val="none"/>
                <w:lang w:eastAsia="zh-CN"/>
              </w:rPr>
              <w:t>。</w:t>
            </w:r>
          </w:p>
        </w:tc>
        <w:tc>
          <w:tcPr>
            <w:tcW w:w="1965" w:type="dxa"/>
            <w:shd w:val="clear" w:color="auto" w:fill="auto"/>
            <w:vAlign w:val="center"/>
          </w:tcPr>
          <w:p>
            <w:pPr>
              <w:widowControl/>
              <w:jc w:val="center"/>
              <w:rPr>
                <w:rFonts w:hint="eastAsia" w:ascii="仿宋" w:hAnsi="仿宋" w:eastAsia="仿宋" w:cs="Arial"/>
                <w:color w:val="auto"/>
                <w:kern w:val="0"/>
                <w:sz w:val="22"/>
                <w:szCs w:val="22"/>
                <w:highlight w:val="none"/>
                <w:lang w:eastAsia="zh-CN"/>
              </w:rPr>
            </w:pPr>
            <w:bookmarkStart w:id="1" w:name="_Hlk108184825"/>
            <w:r>
              <w:rPr>
                <w:rFonts w:hint="eastAsia" w:ascii="仿宋" w:hAnsi="仿宋" w:eastAsia="仿宋" w:cs="宋体"/>
                <w:color w:val="auto"/>
                <w:kern w:val="0"/>
                <w:sz w:val="22"/>
                <w:szCs w:val="22"/>
                <w:highlight w:val="none"/>
              </w:rPr>
              <w:t>2</w:t>
            </w:r>
            <w:r>
              <w:rPr>
                <w:rFonts w:ascii="仿宋" w:hAnsi="仿宋" w:eastAsia="仿宋" w:cs="宋体"/>
                <w:color w:val="auto"/>
                <w:kern w:val="0"/>
                <w:sz w:val="22"/>
                <w:szCs w:val="22"/>
                <w:highlight w:val="none"/>
              </w:rPr>
              <w:t>020</w:t>
            </w:r>
            <w:r>
              <w:rPr>
                <w:rFonts w:hint="eastAsia" w:ascii="仿宋" w:hAnsi="仿宋" w:eastAsia="仿宋" w:cs="宋体"/>
                <w:color w:val="auto"/>
                <w:kern w:val="0"/>
                <w:sz w:val="22"/>
                <w:szCs w:val="22"/>
                <w:highlight w:val="none"/>
              </w:rPr>
              <w:t>年1月1日至招标公告发布之日内保护监控类产品累计销售业绩不少于</w:t>
            </w:r>
            <w:r>
              <w:rPr>
                <w:rFonts w:ascii="仿宋" w:hAnsi="仿宋" w:eastAsia="仿宋" w:cs="宋体"/>
                <w:color w:val="auto"/>
                <w:kern w:val="0"/>
                <w:sz w:val="22"/>
                <w:szCs w:val="22"/>
                <w:highlight w:val="none"/>
              </w:rPr>
              <w:t>8</w:t>
            </w:r>
            <w:r>
              <w:rPr>
                <w:rFonts w:hint="eastAsia" w:ascii="仿宋" w:hAnsi="仿宋" w:eastAsia="仿宋" w:cs="宋体"/>
                <w:color w:val="auto"/>
                <w:kern w:val="0"/>
                <w:sz w:val="22"/>
                <w:szCs w:val="22"/>
                <w:highlight w:val="none"/>
              </w:rPr>
              <w:t>00万。注：业绩必须提供对应的合同复印件</w:t>
            </w:r>
            <w:bookmarkEnd w:id="1"/>
            <w:r>
              <w:rPr>
                <w:rFonts w:hint="eastAsia" w:ascii="仿宋" w:hAnsi="仿宋" w:eastAsia="仿宋" w:cs="宋体"/>
                <w:color w:val="auto"/>
                <w:kern w:val="0"/>
                <w:sz w:val="22"/>
                <w:szCs w:val="22"/>
                <w:highlight w:val="none"/>
                <w:lang w:eastAsia="zh-CN"/>
              </w:rPr>
              <w:t>。</w:t>
            </w:r>
          </w:p>
        </w:tc>
        <w:tc>
          <w:tcPr>
            <w:tcW w:w="945" w:type="dxa"/>
            <w:shd w:val="clear" w:color="auto" w:fill="auto"/>
            <w:vAlign w:val="center"/>
          </w:tcPr>
          <w:p>
            <w:pPr>
              <w:widowControl/>
              <w:jc w:val="center"/>
              <w:rPr>
                <w:rFonts w:hint="default" w:ascii="仿宋" w:hAnsi="仿宋" w:eastAsia="仿宋" w:cs="Arial"/>
                <w:color w:val="auto"/>
                <w:kern w:val="0"/>
                <w:sz w:val="22"/>
                <w:szCs w:val="22"/>
                <w:highlight w:val="none"/>
                <w:lang w:val="en-US" w:eastAsia="zh-CN"/>
              </w:rPr>
            </w:pPr>
            <w:r>
              <w:rPr>
                <w:rFonts w:hint="eastAsia" w:ascii="仿宋" w:hAnsi="仿宋" w:eastAsia="仿宋" w:cs="Arial"/>
                <w:color w:val="auto"/>
                <w:kern w:val="0"/>
                <w:sz w:val="22"/>
                <w:szCs w:val="22"/>
                <w:highlight w:val="none"/>
                <w:lang w:val="en-US" w:eastAsia="zh-CN"/>
              </w:rPr>
              <w:t>15</w:t>
            </w:r>
          </w:p>
        </w:tc>
      </w:tr>
    </w:tbl>
    <w:p>
      <w:pPr>
        <w:rPr>
          <w:rFonts w:hint="eastAsia" w:ascii="仿宋" w:hAnsi="仿宋" w:eastAsia="仿宋"/>
          <w:color w:val="auto"/>
          <w:sz w:val="22"/>
          <w:szCs w:val="22"/>
          <w:highlight w:val="none"/>
        </w:rPr>
      </w:pPr>
    </w:p>
    <w:p>
      <w:pP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具体供货不局限于上述产品。应包括上述产品相关配件，类似升级产品。</w:t>
      </w:r>
    </w:p>
    <w:p>
      <w:pP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备注：</w:t>
      </w:r>
    </w:p>
    <w:p>
      <w:pPr>
        <w:rPr>
          <w:rFonts w:hint="eastAsia" w:ascii="仿宋" w:hAnsi="仿宋" w:eastAsia="仿宋"/>
          <w:color w:val="auto"/>
          <w:sz w:val="22"/>
          <w:szCs w:val="22"/>
          <w:highlight w:val="none"/>
        </w:rPr>
      </w:pPr>
      <w:r>
        <w:rPr>
          <w:rFonts w:hint="eastAsia" w:ascii="仿宋" w:hAnsi="仿宋" w:eastAsia="仿宋"/>
          <w:color w:val="auto"/>
          <w:sz w:val="22"/>
          <w:szCs w:val="22"/>
          <w:highlight w:val="none"/>
          <w:lang w:val="en-US" w:eastAsia="zh-CN"/>
        </w:rPr>
        <w:t>1.</w:t>
      </w:r>
      <w:r>
        <w:rPr>
          <w:rFonts w:hint="eastAsia" w:ascii="仿宋" w:hAnsi="仿宋" w:eastAsia="仿宋"/>
          <w:color w:val="auto"/>
          <w:sz w:val="22"/>
          <w:szCs w:val="22"/>
          <w:highlight w:val="none"/>
        </w:rPr>
        <w:t>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2.投标文件中提供的证明材料复印件应复印清晰、可辨认且不得遮盖、涂抹，否则视为无效。</w:t>
      </w:r>
    </w:p>
    <w:p>
      <w:pPr>
        <w:rPr>
          <w:rFonts w:ascii="仿宋" w:hAnsi="仿宋" w:eastAsia="仿宋"/>
          <w:color w:val="auto"/>
          <w:sz w:val="22"/>
          <w:szCs w:val="22"/>
          <w:highlight w:val="none"/>
        </w:rPr>
        <w:sectPr>
          <w:pgSz w:w="16838" w:h="11906" w:orient="landscape"/>
          <w:pgMar w:top="1800" w:right="1440" w:bottom="1800" w:left="1440" w:header="851" w:footer="992" w:gutter="0"/>
          <w:cols w:space="425" w:num="1"/>
          <w:docGrid w:type="lines" w:linePitch="312" w:charSpace="0"/>
        </w:sectPr>
      </w:pPr>
      <w:r>
        <w:rPr>
          <w:rFonts w:ascii="仿宋" w:hAnsi="仿宋" w:eastAsia="仿宋"/>
          <w:color w:val="auto"/>
          <w:sz w:val="22"/>
          <w:szCs w:val="22"/>
          <w:highlight w:val="none"/>
        </w:rPr>
        <w:t xml:space="preserve"> </w:t>
      </w:r>
    </w:p>
    <w:p>
      <w:pPr>
        <w:pStyle w:val="16"/>
        <w:rPr>
          <w:rFonts w:ascii="仿宋" w:hAnsi="仿宋" w:eastAsia="仿宋"/>
          <w:b/>
          <w:color w:val="auto"/>
          <w:sz w:val="24"/>
          <w:szCs w:val="24"/>
          <w:highlight w:val="none"/>
        </w:rPr>
      </w:pPr>
      <w:r>
        <w:rPr>
          <w:rFonts w:hint="eastAsia" w:ascii="仿宋" w:hAnsi="仿宋" w:eastAsia="仿宋"/>
          <w:b/>
          <w:color w:val="auto"/>
          <w:sz w:val="24"/>
          <w:szCs w:val="24"/>
          <w:highlight w:val="none"/>
          <w:lang w:val="en-US" w:eastAsia="zh-CN"/>
        </w:rPr>
        <w:t>分标二：高压线路信息采集系统采购项目</w:t>
      </w:r>
    </w:p>
    <w:tbl>
      <w:tblPr>
        <w:tblStyle w:val="8"/>
        <w:tblW w:w="13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994"/>
        <w:gridCol w:w="1179"/>
        <w:gridCol w:w="892"/>
        <w:gridCol w:w="992"/>
        <w:gridCol w:w="1158"/>
        <w:gridCol w:w="815"/>
        <w:gridCol w:w="1004"/>
        <w:gridCol w:w="3051"/>
        <w:gridCol w:w="2153"/>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20" w:type="dxa"/>
            <w:vAlign w:val="center"/>
          </w:tcPr>
          <w:p>
            <w:pPr>
              <w:widowControl/>
              <w:jc w:val="left"/>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序号</w:t>
            </w:r>
          </w:p>
        </w:tc>
        <w:tc>
          <w:tcPr>
            <w:tcW w:w="994" w:type="dxa"/>
            <w:shd w:val="clear" w:color="auto" w:fill="auto"/>
            <w:vAlign w:val="center"/>
          </w:tcPr>
          <w:p>
            <w:pPr>
              <w:widowControl/>
              <w:jc w:val="left"/>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物资名称</w:t>
            </w:r>
          </w:p>
        </w:tc>
        <w:tc>
          <w:tcPr>
            <w:tcW w:w="1179" w:type="dxa"/>
            <w:shd w:val="clear" w:color="auto" w:fill="auto"/>
            <w:vAlign w:val="center"/>
          </w:tcPr>
          <w:p>
            <w:pPr>
              <w:widowControl/>
              <w:jc w:val="left"/>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主要技术要求</w:t>
            </w:r>
          </w:p>
        </w:tc>
        <w:tc>
          <w:tcPr>
            <w:tcW w:w="892" w:type="dxa"/>
            <w:shd w:val="clear" w:color="auto" w:fill="auto"/>
            <w:vAlign w:val="center"/>
          </w:tcPr>
          <w:p>
            <w:pPr>
              <w:widowControl/>
              <w:jc w:val="left"/>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单位</w:t>
            </w:r>
          </w:p>
        </w:tc>
        <w:tc>
          <w:tcPr>
            <w:tcW w:w="992" w:type="dxa"/>
            <w:shd w:val="clear" w:color="auto" w:fill="auto"/>
            <w:vAlign w:val="center"/>
          </w:tcPr>
          <w:p>
            <w:pPr>
              <w:widowControl/>
              <w:jc w:val="left"/>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数量</w:t>
            </w:r>
          </w:p>
        </w:tc>
        <w:tc>
          <w:tcPr>
            <w:tcW w:w="1158" w:type="dxa"/>
            <w:shd w:val="clear" w:color="auto" w:fill="auto"/>
            <w:vAlign w:val="center"/>
          </w:tcPr>
          <w:p>
            <w:pPr>
              <w:widowControl/>
              <w:jc w:val="left"/>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交货日期</w:t>
            </w:r>
          </w:p>
        </w:tc>
        <w:tc>
          <w:tcPr>
            <w:tcW w:w="815" w:type="dxa"/>
            <w:vAlign w:val="center"/>
          </w:tcPr>
          <w:p>
            <w:pPr>
              <w:widowControl/>
              <w:jc w:val="left"/>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质保期</w:t>
            </w:r>
          </w:p>
        </w:tc>
        <w:tc>
          <w:tcPr>
            <w:tcW w:w="1004" w:type="dxa"/>
            <w:shd w:val="clear" w:color="auto" w:fill="auto"/>
            <w:vAlign w:val="center"/>
          </w:tcPr>
          <w:p>
            <w:pPr>
              <w:widowControl/>
              <w:jc w:val="left"/>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交货地点</w:t>
            </w:r>
          </w:p>
        </w:tc>
        <w:tc>
          <w:tcPr>
            <w:tcW w:w="3051" w:type="dxa"/>
            <w:shd w:val="clear" w:color="auto" w:fill="auto"/>
            <w:vAlign w:val="center"/>
          </w:tcPr>
          <w:p>
            <w:pPr>
              <w:widowControl/>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lang w:val="en-US" w:eastAsia="zh-CN"/>
              </w:rPr>
              <w:t>专用资质要求</w:t>
            </w:r>
          </w:p>
        </w:tc>
        <w:tc>
          <w:tcPr>
            <w:tcW w:w="2153" w:type="dxa"/>
            <w:shd w:val="clear" w:color="auto" w:fill="auto"/>
            <w:vAlign w:val="center"/>
          </w:tcPr>
          <w:p>
            <w:pPr>
              <w:widowControl/>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lang w:val="en-US" w:eastAsia="zh-CN"/>
              </w:rPr>
              <w:t>专用业绩要求</w:t>
            </w:r>
          </w:p>
        </w:tc>
        <w:tc>
          <w:tcPr>
            <w:tcW w:w="855" w:type="dxa"/>
            <w:shd w:val="clear" w:color="auto" w:fill="auto"/>
            <w:vAlign w:val="center"/>
          </w:tcPr>
          <w:p>
            <w:pPr>
              <w:widowControl/>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lang w:val="en-US" w:eastAsia="zh-CN"/>
              </w:rPr>
              <w:t>保证金（万元）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20" w:type="dxa"/>
            <w:vAlign w:val="center"/>
          </w:tcPr>
          <w:p>
            <w:pPr>
              <w:widowControl/>
              <w:jc w:val="left"/>
              <w:rPr>
                <w:rFonts w:ascii="仿宋" w:hAnsi="仿宋" w:eastAsia="仿宋" w:cs="Arial"/>
                <w:color w:val="auto"/>
                <w:kern w:val="0"/>
                <w:sz w:val="24"/>
                <w:szCs w:val="24"/>
                <w:highlight w:val="none"/>
              </w:rPr>
            </w:pPr>
            <w:r>
              <w:rPr>
                <w:rFonts w:hint="eastAsia" w:ascii="仿宋" w:hAnsi="仿宋" w:eastAsia="仿宋"/>
                <w:color w:val="auto"/>
                <w:sz w:val="24"/>
                <w:szCs w:val="24"/>
                <w:highlight w:val="none"/>
              </w:rPr>
              <w:t>1</w:t>
            </w:r>
          </w:p>
        </w:tc>
        <w:tc>
          <w:tcPr>
            <w:tcW w:w="994" w:type="dxa"/>
            <w:shd w:val="clear" w:color="auto" w:fill="auto"/>
            <w:vAlign w:val="center"/>
          </w:tcPr>
          <w:p>
            <w:pPr>
              <w:widowControl/>
              <w:jc w:val="left"/>
              <w:rPr>
                <w:rFonts w:ascii="仿宋" w:hAnsi="仿宋" w:eastAsia="仿宋" w:cs="Arial"/>
                <w:color w:val="auto"/>
                <w:kern w:val="0"/>
                <w:sz w:val="24"/>
                <w:szCs w:val="24"/>
                <w:highlight w:val="none"/>
              </w:rPr>
            </w:pPr>
            <w:r>
              <w:rPr>
                <w:rFonts w:hint="eastAsia" w:ascii="仿宋" w:hAnsi="仿宋" w:eastAsia="仿宋" w:cs="宋体"/>
                <w:color w:val="auto"/>
                <w:kern w:val="0"/>
                <w:sz w:val="24"/>
                <w:szCs w:val="24"/>
                <w:highlight w:val="none"/>
                <w:lang w:bidi="ar"/>
              </w:rPr>
              <w:t>高压线路信息采集系统</w:t>
            </w:r>
          </w:p>
        </w:tc>
        <w:tc>
          <w:tcPr>
            <w:tcW w:w="1179" w:type="dxa"/>
            <w:shd w:val="clear" w:color="auto" w:fill="auto"/>
            <w:vAlign w:val="center"/>
          </w:tcPr>
          <w:p>
            <w:pPr>
              <w:widowControl/>
              <w:jc w:val="left"/>
              <w:rPr>
                <w:rFonts w:ascii="仿宋" w:hAnsi="仿宋" w:eastAsia="仿宋" w:cs="Arial"/>
                <w:color w:val="auto"/>
                <w:kern w:val="0"/>
                <w:sz w:val="24"/>
                <w:szCs w:val="24"/>
                <w:highlight w:val="none"/>
              </w:rPr>
            </w:pPr>
            <w:r>
              <w:rPr>
                <w:rFonts w:hint="eastAsia" w:ascii="仿宋" w:hAnsi="仿宋" w:eastAsia="仿宋" w:cs="Arial"/>
                <w:color w:val="auto"/>
                <w:kern w:val="0"/>
                <w:sz w:val="22"/>
                <w:szCs w:val="22"/>
                <w:highlight w:val="none"/>
              </w:rPr>
              <w:t>含数据采集、分析诊断、通信远程等功能.</w:t>
            </w:r>
          </w:p>
        </w:tc>
        <w:tc>
          <w:tcPr>
            <w:tcW w:w="892" w:type="dxa"/>
            <w:shd w:val="clear" w:color="000000" w:fill="FFFFFF"/>
            <w:vAlign w:val="center"/>
          </w:tcPr>
          <w:p>
            <w:pPr>
              <w:widowControl/>
              <w:ind w:firstLine="240" w:firstLineChars="100"/>
              <w:jc w:val="left"/>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套</w:t>
            </w:r>
          </w:p>
        </w:tc>
        <w:tc>
          <w:tcPr>
            <w:tcW w:w="992" w:type="dxa"/>
            <w:shd w:val="clear" w:color="000000" w:fill="FFFFFF"/>
            <w:vAlign w:val="center"/>
          </w:tcPr>
          <w:p>
            <w:pPr>
              <w:widowControl/>
              <w:ind w:firstLine="240" w:firstLineChars="100"/>
              <w:jc w:val="left"/>
              <w:rPr>
                <w:rFonts w:ascii="仿宋" w:hAnsi="仿宋" w:eastAsia="仿宋" w:cs="Arial"/>
                <w:color w:val="auto"/>
                <w:kern w:val="0"/>
                <w:sz w:val="24"/>
                <w:szCs w:val="24"/>
                <w:highlight w:val="none"/>
              </w:rPr>
            </w:pPr>
            <w:r>
              <w:rPr>
                <w:rFonts w:ascii="仿宋" w:hAnsi="仿宋" w:eastAsia="仿宋"/>
                <w:color w:val="auto"/>
                <w:sz w:val="24"/>
                <w:szCs w:val="24"/>
                <w:highlight w:val="none"/>
              </w:rPr>
              <w:t>1</w:t>
            </w:r>
          </w:p>
        </w:tc>
        <w:tc>
          <w:tcPr>
            <w:tcW w:w="1158" w:type="dxa"/>
            <w:shd w:val="clear" w:color="auto" w:fill="auto"/>
            <w:vAlign w:val="center"/>
          </w:tcPr>
          <w:p>
            <w:pPr>
              <w:jc w:val="left"/>
              <w:rPr>
                <w:rFonts w:ascii="仿宋" w:hAnsi="仿宋" w:eastAsia="仿宋" w:cs="Arial"/>
                <w:color w:val="auto"/>
                <w:kern w:val="0"/>
                <w:sz w:val="24"/>
                <w:szCs w:val="24"/>
                <w:highlight w:val="none"/>
              </w:rPr>
            </w:pPr>
            <w:r>
              <w:rPr>
                <w:rFonts w:hint="eastAsia" w:ascii="仿宋" w:hAnsi="仿宋" w:eastAsia="仿宋"/>
                <w:color w:val="auto"/>
                <w:sz w:val="24"/>
                <w:szCs w:val="24"/>
                <w:highlight w:val="none"/>
              </w:rPr>
              <w:t>合同签订后</w:t>
            </w:r>
            <w:r>
              <w:rPr>
                <w:rFonts w:ascii="仿宋" w:hAnsi="仿宋" w:eastAsia="仿宋"/>
                <w:color w:val="auto"/>
                <w:sz w:val="24"/>
                <w:szCs w:val="24"/>
                <w:highlight w:val="none"/>
              </w:rPr>
              <w:t>20日内</w:t>
            </w:r>
          </w:p>
        </w:tc>
        <w:tc>
          <w:tcPr>
            <w:tcW w:w="815" w:type="dxa"/>
            <w:vAlign w:val="center"/>
          </w:tcPr>
          <w:p>
            <w:pPr>
              <w:jc w:val="left"/>
              <w:rPr>
                <w:rFonts w:ascii="仿宋" w:hAnsi="仿宋" w:eastAsia="仿宋" w:cs="Arial"/>
                <w:color w:val="auto"/>
                <w:kern w:val="0"/>
                <w:sz w:val="24"/>
                <w:szCs w:val="24"/>
                <w:highlight w:val="none"/>
              </w:rPr>
            </w:pPr>
            <w:r>
              <w:rPr>
                <w:rFonts w:ascii="仿宋" w:hAnsi="仿宋" w:eastAsia="仿宋"/>
                <w:color w:val="auto"/>
                <w:sz w:val="24"/>
                <w:szCs w:val="24"/>
                <w:highlight w:val="none"/>
              </w:rPr>
              <w:t>5</w:t>
            </w:r>
            <w:r>
              <w:rPr>
                <w:rFonts w:hint="eastAsia" w:ascii="仿宋" w:hAnsi="仿宋" w:eastAsia="仿宋"/>
                <w:color w:val="auto"/>
                <w:sz w:val="24"/>
                <w:szCs w:val="24"/>
                <w:highlight w:val="none"/>
              </w:rPr>
              <w:t>年</w:t>
            </w:r>
          </w:p>
        </w:tc>
        <w:tc>
          <w:tcPr>
            <w:tcW w:w="1004" w:type="dxa"/>
            <w:shd w:val="clear" w:color="auto" w:fill="auto"/>
            <w:vAlign w:val="center"/>
          </w:tcPr>
          <w:p>
            <w:pPr>
              <w:widowControl/>
              <w:jc w:val="left"/>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买方指定仓库地面交货</w:t>
            </w:r>
          </w:p>
        </w:tc>
        <w:tc>
          <w:tcPr>
            <w:tcW w:w="3051" w:type="dxa"/>
            <w:shd w:val="clear" w:color="auto" w:fill="auto"/>
            <w:vAlign w:val="center"/>
          </w:tcPr>
          <w:p>
            <w:pPr>
              <w:widowControl/>
              <w:jc w:val="left"/>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val="en-US" w:eastAsia="zh-CN"/>
              </w:rPr>
              <w:t>1.</w:t>
            </w:r>
            <w:r>
              <w:rPr>
                <w:rFonts w:hint="eastAsia" w:ascii="仿宋" w:hAnsi="仿宋" w:eastAsia="仿宋" w:cs="Arial"/>
                <w:color w:val="auto"/>
                <w:kern w:val="0"/>
                <w:sz w:val="22"/>
                <w:szCs w:val="22"/>
                <w:highlight w:val="none"/>
              </w:rPr>
              <w:t>厂商要求</w:t>
            </w:r>
            <w:r>
              <w:rPr>
                <w:rFonts w:hint="eastAsia" w:ascii="仿宋" w:hAnsi="仿宋" w:eastAsia="仿宋" w:cs="Arial"/>
                <w:color w:val="auto"/>
                <w:kern w:val="0"/>
                <w:sz w:val="22"/>
                <w:szCs w:val="22"/>
                <w:highlight w:val="none"/>
                <w:lang w:eastAsia="zh-CN"/>
              </w:rPr>
              <w:t>：</w:t>
            </w:r>
            <w:r>
              <w:rPr>
                <w:rFonts w:hint="eastAsia" w:ascii="仿宋" w:hAnsi="仿宋" w:eastAsia="仿宋" w:cs="Arial"/>
                <w:color w:val="auto"/>
                <w:kern w:val="0"/>
                <w:sz w:val="22"/>
                <w:szCs w:val="22"/>
                <w:highlight w:val="none"/>
              </w:rPr>
              <w:t>制造商</w:t>
            </w:r>
            <w:r>
              <w:rPr>
                <w:rFonts w:hint="eastAsia" w:ascii="仿宋" w:hAnsi="仿宋" w:eastAsia="仿宋" w:cs="Arial"/>
                <w:color w:val="auto"/>
                <w:kern w:val="0"/>
                <w:sz w:val="22"/>
                <w:szCs w:val="22"/>
                <w:highlight w:val="none"/>
                <w:lang w:eastAsia="zh-CN"/>
              </w:rPr>
              <w:t>；</w:t>
            </w:r>
          </w:p>
          <w:p>
            <w:pPr>
              <w:widowControl/>
              <w:jc w:val="left"/>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val="en-US" w:eastAsia="zh-CN"/>
              </w:rPr>
              <w:t>2.</w:t>
            </w:r>
            <w:r>
              <w:rPr>
                <w:rFonts w:hint="eastAsia" w:ascii="仿宋" w:hAnsi="仿宋" w:eastAsia="仿宋" w:cs="Arial"/>
                <w:color w:val="auto"/>
                <w:kern w:val="0"/>
                <w:sz w:val="22"/>
                <w:szCs w:val="22"/>
                <w:highlight w:val="none"/>
              </w:rPr>
              <w:t>认证证书</w:t>
            </w:r>
            <w:r>
              <w:rPr>
                <w:rFonts w:hint="eastAsia" w:ascii="仿宋" w:hAnsi="仿宋" w:eastAsia="仿宋" w:cs="Arial"/>
                <w:color w:val="auto"/>
                <w:kern w:val="0"/>
                <w:sz w:val="22"/>
                <w:szCs w:val="22"/>
                <w:highlight w:val="none"/>
                <w:lang w:eastAsia="zh-CN"/>
              </w:rPr>
              <w:t>：</w:t>
            </w:r>
            <w:r>
              <w:rPr>
                <w:rFonts w:hint="eastAsia" w:ascii="仿宋" w:hAnsi="仿宋" w:eastAsia="仿宋" w:cs="Arial"/>
                <w:color w:val="auto"/>
                <w:kern w:val="0"/>
                <w:sz w:val="22"/>
                <w:szCs w:val="22"/>
                <w:highlight w:val="none"/>
              </w:rPr>
              <w:t>具有有效的ISO9000系列质量管理体系认证证书</w:t>
            </w:r>
            <w:r>
              <w:rPr>
                <w:rFonts w:hint="eastAsia" w:ascii="仿宋" w:hAnsi="仿宋" w:eastAsia="仿宋" w:cs="Arial"/>
                <w:color w:val="auto"/>
                <w:kern w:val="0"/>
                <w:sz w:val="22"/>
                <w:szCs w:val="22"/>
                <w:highlight w:val="none"/>
                <w:lang w:eastAsia="zh-CN"/>
              </w:rPr>
              <w:t>；</w:t>
            </w:r>
          </w:p>
          <w:p>
            <w:pPr>
              <w:widowControl/>
              <w:jc w:val="left"/>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val="en-US" w:eastAsia="zh-CN"/>
              </w:rPr>
              <w:t>3.</w:t>
            </w:r>
            <w:r>
              <w:rPr>
                <w:rFonts w:hint="eastAsia" w:ascii="仿宋" w:hAnsi="仿宋" w:eastAsia="仿宋" w:cs="Arial"/>
                <w:color w:val="auto"/>
                <w:kern w:val="0"/>
                <w:sz w:val="22"/>
                <w:szCs w:val="22"/>
                <w:highlight w:val="none"/>
              </w:rPr>
              <w:t>产品型式试验报告或检测报告或鉴定报告</w:t>
            </w:r>
            <w:r>
              <w:rPr>
                <w:rFonts w:hint="eastAsia" w:ascii="仿宋" w:hAnsi="仿宋" w:eastAsia="仿宋" w:cs="Arial"/>
                <w:color w:val="auto"/>
                <w:kern w:val="0"/>
                <w:sz w:val="22"/>
                <w:szCs w:val="22"/>
                <w:highlight w:val="none"/>
                <w:lang w:eastAsia="zh-CN"/>
              </w:rPr>
              <w:t>：</w:t>
            </w:r>
            <w:r>
              <w:rPr>
                <w:rFonts w:hint="eastAsia" w:ascii="仿宋" w:hAnsi="仿宋" w:eastAsia="仿宋" w:cs="Arial"/>
                <w:color w:val="auto"/>
                <w:kern w:val="0"/>
                <w:sz w:val="22"/>
                <w:szCs w:val="22"/>
                <w:highlight w:val="none"/>
              </w:rPr>
              <w:t>提供同系列国家第三方检测机构出具的有效的型式试验报告或检测报告（视频在线监测装置）</w:t>
            </w:r>
          </w:p>
        </w:tc>
        <w:tc>
          <w:tcPr>
            <w:tcW w:w="2153" w:type="dxa"/>
            <w:shd w:val="clear" w:color="auto" w:fill="auto"/>
            <w:vAlign w:val="center"/>
          </w:tcPr>
          <w:p>
            <w:pPr>
              <w:widowControl/>
              <w:jc w:val="left"/>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业绩要求</w:t>
            </w:r>
            <w:r>
              <w:rPr>
                <w:rFonts w:hint="eastAsia" w:ascii="仿宋" w:hAnsi="仿宋" w:eastAsia="仿宋" w:cs="Arial"/>
                <w:color w:val="auto"/>
                <w:kern w:val="0"/>
                <w:sz w:val="22"/>
                <w:szCs w:val="22"/>
                <w:highlight w:val="none"/>
                <w:lang w:eastAsia="zh-CN"/>
              </w:rPr>
              <w:t>：</w:t>
            </w:r>
            <w:r>
              <w:rPr>
                <w:rFonts w:hint="eastAsia" w:ascii="仿宋" w:hAnsi="仿宋" w:eastAsia="仿宋" w:cs="Arial"/>
                <w:color w:val="auto"/>
                <w:kern w:val="0"/>
                <w:sz w:val="22"/>
                <w:szCs w:val="22"/>
                <w:highlight w:val="none"/>
              </w:rPr>
              <w:t>2019年1月1日起至招标公告发布之日内具有500kV以上输电线路在线监测产品同类业绩。注：业绩必须提供对应的合同复印件。</w:t>
            </w:r>
          </w:p>
        </w:tc>
        <w:tc>
          <w:tcPr>
            <w:tcW w:w="855" w:type="dxa"/>
            <w:shd w:val="clear" w:color="auto" w:fill="auto"/>
            <w:vAlign w:val="center"/>
          </w:tcPr>
          <w:p>
            <w:pPr>
              <w:widowControl/>
              <w:jc w:val="center"/>
              <w:rPr>
                <w:rFonts w:hint="default" w:ascii="仿宋" w:hAnsi="仿宋" w:eastAsia="仿宋" w:cs="Arial"/>
                <w:color w:val="auto"/>
                <w:kern w:val="0"/>
                <w:sz w:val="24"/>
                <w:szCs w:val="24"/>
                <w:highlight w:val="none"/>
                <w:lang w:val="en-US" w:eastAsia="zh-CN"/>
              </w:rPr>
            </w:pPr>
            <w:r>
              <w:rPr>
                <w:rFonts w:hint="eastAsia" w:ascii="仿宋" w:hAnsi="仿宋" w:eastAsia="仿宋" w:cs="Arial"/>
                <w:color w:val="auto"/>
                <w:kern w:val="0"/>
                <w:sz w:val="24"/>
                <w:szCs w:val="24"/>
                <w:highlight w:val="none"/>
                <w:lang w:val="en-US" w:eastAsia="zh-CN"/>
              </w:rPr>
              <w:t>5.2</w:t>
            </w:r>
          </w:p>
        </w:tc>
      </w:tr>
    </w:tbl>
    <w:p>
      <w:pPr>
        <w:ind w:firstLine="420"/>
        <w:jc w:val="left"/>
        <w:rPr>
          <w:rFonts w:ascii="仿宋" w:hAnsi="仿宋" w:eastAsia="仿宋"/>
          <w:color w:val="auto"/>
          <w:sz w:val="22"/>
          <w:szCs w:val="22"/>
          <w:highlight w:val="none"/>
        </w:rPr>
      </w:pPr>
      <w:r>
        <w:rPr>
          <w:rFonts w:hint="eastAsia" w:ascii="仿宋" w:hAnsi="仿宋" w:eastAsia="仿宋"/>
          <w:color w:val="auto"/>
          <w:sz w:val="22"/>
          <w:szCs w:val="22"/>
          <w:highlight w:val="none"/>
        </w:rPr>
        <w:t>具体供货不局限于上述产品。应包括上述产品相关配件，类似升级产品。</w:t>
      </w:r>
    </w:p>
    <w:p>
      <w:pPr>
        <w:jc w:val="left"/>
        <w:rPr>
          <w:rFonts w:ascii="仿宋" w:hAnsi="仿宋" w:eastAsia="仿宋"/>
          <w:color w:val="auto"/>
          <w:sz w:val="22"/>
          <w:szCs w:val="22"/>
          <w:highlight w:val="none"/>
        </w:rPr>
      </w:pPr>
      <w:r>
        <w:rPr>
          <w:rFonts w:hint="eastAsia" w:ascii="仿宋" w:hAnsi="仿宋" w:eastAsia="仿宋"/>
          <w:color w:val="auto"/>
          <w:sz w:val="22"/>
          <w:szCs w:val="22"/>
          <w:highlight w:val="none"/>
        </w:rPr>
        <w:t>备注：</w:t>
      </w:r>
    </w:p>
    <w:p>
      <w:pPr>
        <w:jc w:val="left"/>
        <w:rPr>
          <w:rFonts w:ascii="仿宋" w:hAnsi="仿宋" w:eastAsia="仿宋"/>
          <w:color w:val="auto"/>
          <w:sz w:val="22"/>
          <w:szCs w:val="22"/>
          <w:highlight w:val="none"/>
        </w:rPr>
      </w:pPr>
      <w:r>
        <w:rPr>
          <w:rFonts w:hint="eastAsia" w:ascii="仿宋" w:hAnsi="仿宋" w:eastAsia="仿宋"/>
          <w:color w:val="auto"/>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jc w:val="left"/>
        <w:rPr>
          <w:rFonts w:ascii="仿宋" w:hAnsi="仿宋" w:eastAsia="仿宋"/>
          <w:color w:val="auto"/>
          <w:kern w:val="0"/>
          <w:sz w:val="24"/>
          <w:szCs w:val="24"/>
          <w:highlight w:val="none"/>
        </w:rPr>
      </w:pPr>
      <w:r>
        <w:rPr>
          <w:rFonts w:hint="eastAsia" w:ascii="仿宋" w:hAnsi="仿宋" w:eastAsia="仿宋"/>
          <w:color w:val="auto"/>
          <w:sz w:val="22"/>
          <w:szCs w:val="22"/>
          <w:highlight w:val="none"/>
        </w:rPr>
        <w:t>2.投标文件中提供的证明材料复印件应复印清晰、可辨认且不得遮盖、涂抹，否则视为无效。</w:t>
      </w:r>
    </w:p>
    <w:p>
      <w:pPr>
        <w:jc w:val="left"/>
        <w:rPr>
          <w:rFonts w:ascii="仿宋" w:hAnsi="仿宋" w:eastAsia="仿宋"/>
          <w:color w:val="auto"/>
          <w:kern w:val="0"/>
          <w:sz w:val="24"/>
          <w:szCs w:val="24"/>
          <w:highlight w:val="none"/>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M1NjU5NTU1OTBhZTRiN2E3MWZhYWU2MjFkNTEwNzkifQ=="/>
  </w:docVars>
  <w:rsids>
    <w:rsidRoot w:val="00090E29"/>
    <w:rsid w:val="00090E29"/>
    <w:rsid w:val="00096144"/>
    <w:rsid w:val="000C018A"/>
    <w:rsid w:val="0013644E"/>
    <w:rsid w:val="001855CA"/>
    <w:rsid w:val="003266DE"/>
    <w:rsid w:val="003F2197"/>
    <w:rsid w:val="0050209C"/>
    <w:rsid w:val="00546C4D"/>
    <w:rsid w:val="0056369E"/>
    <w:rsid w:val="006004F0"/>
    <w:rsid w:val="00611B0C"/>
    <w:rsid w:val="006B5136"/>
    <w:rsid w:val="006D1C5C"/>
    <w:rsid w:val="007A0757"/>
    <w:rsid w:val="007D28B6"/>
    <w:rsid w:val="008B14B2"/>
    <w:rsid w:val="008B7C97"/>
    <w:rsid w:val="008E1E8A"/>
    <w:rsid w:val="008E369A"/>
    <w:rsid w:val="00B93A79"/>
    <w:rsid w:val="00BA7EA8"/>
    <w:rsid w:val="00C80E50"/>
    <w:rsid w:val="00D16E51"/>
    <w:rsid w:val="00D4130D"/>
    <w:rsid w:val="00D65A7A"/>
    <w:rsid w:val="00DA55CC"/>
    <w:rsid w:val="00E16677"/>
    <w:rsid w:val="00EE78CF"/>
    <w:rsid w:val="00F151A4"/>
    <w:rsid w:val="00F25139"/>
    <w:rsid w:val="00F56925"/>
    <w:rsid w:val="00F639CE"/>
    <w:rsid w:val="040D1770"/>
    <w:rsid w:val="04FC416D"/>
    <w:rsid w:val="063127B9"/>
    <w:rsid w:val="06816373"/>
    <w:rsid w:val="0876413A"/>
    <w:rsid w:val="088A5CD1"/>
    <w:rsid w:val="08912845"/>
    <w:rsid w:val="089F22C8"/>
    <w:rsid w:val="0906460D"/>
    <w:rsid w:val="09981FC5"/>
    <w:rsid w:val="09E04429"/>
    <w:rsid w:val="0A3001E0"/>
    <w:rsid w:val="0BC04CF3"/>
    <w:rsid w:val="0CDB468D"/>
    <w:rsid w:val="0DB95E90"/>
    <w:rsid w:val="0EA12E42"/>
    <w:rsid w:val="0F2134B8"/>
    <w:rsid w:val="0F853369"/>
    <w:rsid w:val="0FB1516E"/>
    <w:rsid w:val="0FFD209E"/>
    <w:rsid w:val="103304E0"/>
    <w:rsid w:val="11FC0675"/>
    <w:rsid w:val="146D2DFE"/>
    <w:rsid w:val="14EE61CB"/>
    <w:rsid w:val="167F68EE"/>
    <w:rsid w:val="169A6592"/>
    <w:rsid w:val="183F7C42"/>
    <w:rsid w:val="18D04F26"/>
    <w:rsid w:val="19F57C86"/>
    <w:rsid w:val="1B224D55"/>
    <w:rsid w:val="1B3B1EBB"/>
    <w:rsid w:val="1BCA56F4"/>
    <w:rsid w:val="1BD229BC"/>
    <w:rsid w:val="1C510C82"/>
    <w:rsid w:val="1D514BA0"/>
    <w:rsid w:val="1EF10925"/>
    <w:rsid w:val="1F3D1E63"/>
    <w:rsid w:val="20142DFA"/>
    <w:rsid w:val="203577BE"/>
    <w:rsid w:val="20373F93"/>
    <w:rsid w:val="20E73BFA"/>
    <w:rsid w:val="21FC72EB"/>
    <w:rsid w:val="22D20AD3"/>
    <w:rsid w:val="2460453E"/>
    <w:rsid w:val="26713151"/>
    <w:rsid w:val="26C9733C"/>
    <w:rsid w:val="26D04D02"/>
    <w:rsid w:val="274A6465"/>
    <w:rsid w:val="27BF14E5"/>
    <w:rsid w:val="27E6353A"/>
    <w:rsid w:val="283F1CD8"/>
    <w:rsid w:val="2894561A"/>
    <w:rsid w:val="2910361F"/>
    <w:rsid w:val="29E71C19"/>
    <w:rsid w:val="2B7E4049"/>
    <w:rsid w:val="2C5C438C"/>
    <w:rsid w:val="2D1A547B"/>
    <w:rsid w:val="308B1E37"/>
    <w:rsid w:val="31BA0B13"/>
    <w:rsid w:val="32061D68"/>
    <w:rsid w:val="32580053"/>
    <w:rsid w:val="32F0076D"/>
    <w:rsid w:val="32F60393"/>
    <w:rsid w:val="33A37FA3"/>
    <w:rsid w:val="33E16491"/>
    <w:rsid w:val="344E7D48"/>
    <w:rsid w:val="36A81F19"/>
    <w:rsid w:val="36CA60B6"/>
    <w:rsid w:val="3790383E"/>
    <w:rsid w:val="37AF7C77"/>
    <w:rsid w:val="38B81CA1"/>
    <w:rsid w:val="3A910FF4"/>
    <w:rsid w:val="3ABB128A"/>
    <w:rsid w:val="3B0E674D"/>
    <w:rsid w:val="3B1F79D9"/>
    <w:rsid w:val="3C4E257E"/>
    <w:rsid w:val="3CC36B3B"/>
    <w:rsid w:val="3CCF6B42"/>
    <w:rsid w:val="3D9E4B60"/>
    <w:rsid w:val="3FB31195"/>
    <w:rsid w:val="405979E4"/>
    <w:rsid w:val="41430BE0"/>
    <w:rsid w:val="416B26FA"/>
    <w:rsid w:val="41976FE7"/>
    <w:rsid w:val="42844AAB"/>
    <w:rsid w:val="439E6864"/>
    <w:rsid w:val="43E01DD0"/>
    <w:rsid w:val="446245CF"/>
    <w:rsid w:val="455B308D"/>
    <w:rsid w:val="464B5DCF"/>
    <w:rsid w:val="470E0D4D"/>
    <w:rsid w:val="476A5954"/>
    <w:rsid w:val="494C2758"/>
    <w:rsid w:val="49721EC3"/>
    <w:rsid w:val="49A858B7"/>
    <w:rsid w:val="4A87279D"/>
    <w:rsid w:val="4B567869"/>
    <w:rsid w:val="4BDB43AD"/>
    <w:rsid w:val="4C3B71AC"/>
    <w:rsid w:val="4CF90DA0"/>
    <w:rsid w:val="4D444125"/>
    <w:rsid w:val="4DD54703"/>
    <w:rsid w:val="4E0711EB"/>
    <w:rsid w:val="4FD96DED"/>
    <w:rsid w:val="507846AA"/>
    <w:rsid w:val="50CE72E0"/>
    <w:rsid w:val="51B0110A"/>
    <w:rsid w:val="52513C34"/>
    <w:rsid w:val="52AC50E5"/>
    <w:rsid w:val="53511291"/>
    <w:rsid w:val="53791460"/>
    <w:rsid w:val="54216585"/>
    <w:rsid w:val="54E95C72"/>
    <w:rsid w:val="54F75F66"/>
    <w:rsid w:val="55656F9E"/>
    <w:rsid w:val="557F4DE1"/>
    <w:rsid w:val="55A579A1"/>
    <w:rsid w:val="55F54C7D"/>
    <w:rsid w:val="568B6C91"/>
    <w:rsid w:val="57857FF7"/>
    <w:rsid w:val="58765B48"/>
    <w:rsid w:val="5A3033EE"/>
    <w:rsid w:val="5AC040F1"/>
    <w:rsid w:val="5B2A2BD4"/>
    <w:rsid w:val="5C263591"/>
    <w:rsid w:val="5C3E77E9"/>
    <w:rsid w:val="5DA22CDF"/>
    <w:rsid w:val="5EC86D9B"/>
    <w:rsid w:val="5F9C524B"/>
    <w:rsid w:val="5FF27BF4"/>
    <w:rsid w:val="604C7149"/>
    <w:rsid w:val="60A05C01"/>
    <w:rsid w:val="60CF1B28"/>
    <w:rsid w:val="62922A0B"/>
    <w:rsid w:val="632B03E5"/>
    <w:rsid w:val="633B3238"/>
    <w:rsid w:val="63400718"/>
    <w:rsid w:val="65870405"/>
    <w:rsid w:val="676906D7"/>
    <w:rsid w:val="6899505A"/>
    <w:rsid w:val="692913FD"/>
    <w:rsid w:val="69481F1D"/>
    <w:rsid w:val="6A6B1BBE"/>
    <w:rsid w:val="6B0033F1"/>
    <w:rsid w:val="6B6E095E"/>
    <w:rsid w:val="6CF1193D"/>
    <w:rsid w:val="6E02774C"/>
    <w:rsid w:val="6E1718FD"/>
    <w:rsid w:val="6E905858"/>
    <w:rsid w:val="6F01698A"/>
    <w:rsid w:val="6F654A89"/>
    <w:rsid w:val="7014228B"/>
    <w:rsid w:val="701F03D6"/>
    <w:rsid w:val="702D53B9"/>
    <w:rsid w:val="703525D6"/>
    <w:rsid w:val="72121874"/>
    <w:rsid w:val="721B4BCD"/>
    <w:rsid w:val="72C40937"/>
    <w:rsid w:val="735E7233"/>
    <w:rsid w:val="754805A5"/>
    <w:rsid w:val="75FF703D"/>
    <w:rsid w:val="768176EC"/>
    <w:rsid w:val="76861E4C"/>
    <w:rsid w:val="77F03460"/>
    <w:rsid w:val="78305C20"/>
    <w:rsid w:val="786E1F54"/>
    <w:rsid w:val="78E00C4B"/>
    <w:rsid w:val="79285B16"/>
    <w:rsid w:val="7A387BE2"/>
    <w:rsid w:val="7AF431F7"/>
    <w:rsid w:val="7B3A67BA"/>
    <w:rsid w:val="7C071D5E"/>
    <w:rsid w:val="7C1E0984"/>
    <w:rsid w:val="7D0A606C"/>
    <w:rsid w:val="7DF050B2"/>
    <w:rsid w:val="7EC421EB"/>
    <w:rsid w:val="7EE54684"/>
    <w:rsid w:val="7FBF0AF4"/>
    <w:rsid w:val="7FF868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5"/>
    <w:qFormat/>
    <w:uiPriority w:val="0"/>
    <w:pPr>
      <w:jc w:val="center"/>
      <w:outlineLvl w:val="0"/>
    </w:pPr>
    <w:rPr>
      <w:b/>
      <w:kern w:val="44"/>
      <w:sz w:val="44"/>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semiHidden/>
    <w:qFormat/>
    <w:uiPriority w:val="0"/>
    <w:pPr>
      <w:spacing w:after="120"/>
    </w:pPr>
  </w:style>
  <w:style w:type="paragraph" w:styleId="5">
    <w:name w:val="Balloon Text"/>
    <w:basedOn w:val="1"/>
    <w:link w:val="18"/>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22"/>
    <w:rPr>
      <w:b/>
      <w:bCs/>
    </w:rPr>
  </w:style>
  <w:style w:type="character" w:styleId="12">
    <w:name w:val="Hyperlink"/>
    <w:qFormat/>
    <w:uiPriority w:val="99"/>
    <w:rPr>
      <w:color w:val="0000FF"/>
      <w:u w:val="single"/>
    </w:rPr>
  </w:style>
  <w:style w:type="character" w:customStyle="1" w:styleId="13">
    <w:name w:val="页眉 Char"/>
    <w:basedOn w:val="10"/>
    <w:link w:val="7"/>
    <w:qFormat/>
    <w:uiPriority w:val="99"/>
    <w:rPr>
      <w:sz w:val="18"/>
      <w:szCs w:val="18"/>
    </w:rPr>
  </w:style>
  <w:style w:type="character" w:customStyle="1" w:styleId="14">
    <w:name w:val="页脚 Char"/>
    <w:basedOn w:val="10"/>
    <w:link w:val="6"/>
    <w:qFormat/>
    <w:uiPriority w:val="99"/>
    <w:rPr>
      <w:sz w:val="18"/>
      <w:szCs w:val="18"/>
    </w:rPr>
  </w:style>
  <w:style w:type="character" w:customStyle="1" w:styleId="15">
    <w:name w:val="标题 1 Char"/>
    <w:basedOn w:val="10"/>
    <w:link w:val="3"/>
    <w:qFormat/>
    <w:uiPriority w:val="0"/>
    <w:rPr>
      <w:rFonts w:ascii="Times New Roman" w:hAnsi="Times New Roman" w:eastAsia="宋体" w:cs="Times New Roman"/>
      <w:b/>
      <w:kern w:val="44"/>
      <w:sz w:val="44"/>
      <w:szCs w:val="20"/>
    </w:rPr>
  </w:style>
  <w:style w:type="paragraph" w:customStyle="1" w:styleId="16">
    <w:name w:val="本文正文"/>
    <w:basedOn w:val="1"/>
    <w:qFormat/>
    <w:uiPriority w:val="0"/>
    <w:pPr>
      <w:tabs>
        <w:tab w:val="left" w:pos="630"/>
      </w:tabs>
      <w:topLinePunct/>
      <w:adjustRightInd w:val="0"/>
      <w:spacing w:line="360" w:lineRule="exact"/>
    </w:pPr>
    <w:rPr>
      <w:color w:val="000000"/>
    </w:rPr>
  </w:style>
  <w:style w:type="paragraph" w:customStyle="1" w:styleId="17">
    <w:name w:val="Normal_1"/>
    <w:qFormat/>
    <w:uiPriority w:val="0"/>
    <w:pPr>
      <w:widowControl w:val="0"/>
      <w:jc w:val="both"/>
    </w:pPr>
    <w:rPr>
      <w:rFonts w:ascii="Times New Roman" w:hAnsi="Times New Roman" w:eastAsia="宋体" w:cs="Times New Roman"/>
      <w:lang w:val="en-US" w:eastAsia="zh-CN" w:bidi="ar-SA"/>
    </w:rPr>
  </w:style>
  <w:style w:type="character" w:customStyle="1" w:styleId="18">
    <w:name w:val="批注框文本 Char"/>
    <w:basedOn w:val="10"/>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600</Words>
  <Characters>3425</Characters>
  <Lines>28</Lines>
  <Paragraphs>8</Paragraphs>
  <TotalTime>4</TotalTime>
  <ScaleCrop>false</ScaleCrop>
  <LinksUpToDate>false</LinksUpToDate>
  <CharactersWithSpaces>4017</CharactersWithSpaces>
  <Application>WPS Office_11.1.0.13020_F1E327BC-269C-435d-A152-05C5408002CA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2021-02-01T07:32:00Z</dcterms:created>
  <dc:creator>CX2020111</dc:creator>
  <cp:lastModifiedBy>纪俊玲18254166172</cp:lastModifiedBy>
  <dcterms:modified xsi:type="dcterms:W3CDTF">2023-03-22T02:40:55Z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ICV">
    <vt:lpwstr>B9D790BC200E42E1852D85AC6EAAB8FA</vt:lpwstr>
  </property>
</Properties>
</file>