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000000" w:themeColor="text1"/>
          <w:kern w:val="0"/>
          <w:szCs w:val="21"/>
          <w:highlight w:val="none"/>
        </w:rPr>
      </w:pPr>
      <w:bookmarkStart w:id="0" w:name="_GoBack"/>
      <w:bookmarkEnd w:id="0"/>
      <w:r>
        <w:rPr>
          <w:rFonts w:hint="eastAsia" w:ascii="仿宋" w:hAnsi="仿宋" w:eastAsia="仿宋" w:cs="Arial"/>
          <w:b/>
          <w:bCs/>
          <w:color w:val="000000" w:themeColor="text1"/>
          <w:kern w:val="0"/>
          <w:szCs w:val="21"/>
          <w:highlight w:val="none"/>
        </w:rPr>
        <w:t>附件1   招标需求一览表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902"/>
        <w:gridCol w:w="2471"/>
        <w:gridCol w:w="945"/>
        <w:gridCol w:w="1072"/>
        <w:gridCol w:w="1055"/>
        <w:gridCol w:w="959"/>
        <w:gridCol w:w="2808"/>
        <w:gridCol w:w="170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82" w:type="pct"/>
            <w:vAlign w:val="center"/>
          </w:tcPr>
          <w:p>
            <w:pPr>
              <w:widowControl/>
              <w:spacing w:line="240" w:lineRule="auto"/>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318" w:type="pct"/>
            <w:shd w:val="clear" w:color="auto" w:fill="auto"/>
            <w:vAlign w:val="center"/>
          </w:tcPr>
          <w:p>
            <w:pPr>
              <w:widowControl/>
              <w:spacing w:line="240" w:lineRule="auto"/>
              <w:jc w:val="center"/>
              <w:rPr>
                <w:rFonts w:hint="eastAsia" w:ascii="仿宋" w:hAnsi="仿宋" w:eastAsia="仿宋" w:cs="Arial"/>
                <w:b/>
                <w:bCs/>
                <w:color w:val="000000" w:themeColor="text1"/>
                <w:kern w:val="0"/>
                <w:sz w:val="22"/>
                <w:szCs w:val="22"/>
                <w:highlight w:val="none"/>
                <w:lang w:eastAsia="zh-CN"/>
              </w:rPr>
            </w:pPr>
            <w:r>
              <w:rPr>
                <w:rFonts w:hint="eastAsia" w:ascii="仿宋" w:hAnsi="仿宋" w:eastAsia="仿宋" w:cs="Arial"/>
                <w:b/>
                <w:bCs/>
                <w:color w:val="000000" w:themeColor="text1"/>
                <w:kern w:val="0"/>
                <w:sz w:val="22"/>
                <w:szCs w:val="22"/>
                <w:highlight w:val="none"/>
                <w:lang w:val="en-US" w:eastAsia="zh-CN"/>
              </w:rPr>
              <w:t>服务内容</w:t>
            </w:r>
          </w:p>
        </w:tc>
        <w:tc>
          <w:tcPr>
            <w:tcW w:w="871" w:type="pct"/>
            <w:shd w:val="clear" w:color="auto" w:fill="auto"/>
            <w:vAlign w:val="center"/>
          </w:tcPr>
          <w:p>
            <w:pPr>
              <w:widowControl/>
              <w:spacing w:line="240" w:lineRule="auto"/>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333" w:type="pct"/>
            <w:shd w:val="clear" w:color="auto" w:fill="auto"/>
            <w:vAlign w:val="center"/>
          </w:tcPr>
          <w:p>
            <w:pPr>
              <w:widowControl/>
              <w:spacing w:line="240" w:lineRule="auto"/>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378" w:type="pct"/>
            <w:shd w:val="clear" w:color="auto" w:fill="auto"/>
            <w:vAlign w:val="center"/>
          </w:tcPr>
          <w:p>
            <w:pPr>
              <w:widowControl/>
              <w:spacing w:line="240" w:lineRule="auto"/>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372" w:type="pct"/>
            <w:shd w:val="clear" w:color="auto" w:fill="auto"/>
            <w:vAlign w:val="center"/>
          </w:tcPr>
          <w:p>
            <w:pPr>
              <w:widowControl/>
              <w:spacing w:line="240" w:lineRule="auto"/>
              <w:jc w:val="center"/>
              <w:rPr>
                <w:rFonts w:hint="default"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服务期</w:t>
            </w:r>
          </w:p>
        </w:tc>
        <w:tc>
          <w:tcPr>
            <w:tcW w:w="338" w:type="pct"/>
            <w:shd w:val="clear" w:color="auto" w:fill="auto"/>
            <w:vAlign w:val="center"/>
          </w:tcPr>
          <w:p>
            <w:pPr>
              <w:widowControl/>
              <w:spacing w:line="240" w:lineRule="auto"/>
              <w:jc w:val="center"/>
              <w:rPr>
                <w:rFonts w:hint="default"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质保期（不低于）</w:t>
            </w:r>
          </w:p>
        </w:tc>
        <w:tc>
          <w:tcPr>
            <w:tcW w:w="990" w:type="pct"/>
            <w:shd w:val="clear" w:color="auto" w:fill="auto"/>
            <w:vAlign w:val="center"/>
          </w:tcPr>
          <w:p>
            <w:pPr>
              <w:widowControl/>
              <w:spacing w:line="240" w:lineRule="auto"/>
              <w:jc w:val="center"/>
              <w:rPr>
                <w:rFonts w:hint="default"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专用资质要求</w:t>
            </w:r>
          </w:p>
        </w:tc>
        <w:tc>
          <w:tcPr>
            <w:tcW w:w="600" w:type="pct"/>
            <w:shd w:val="clear" w:color="auto" w:fill="auto"/>
            <w:vAlign w:val="center"/>
          </w:tcPr>
          <w:p>
            <w:pPr>
              <w:widowControl/>
              <w:spacing w:line="240" w:lineRule="auto"/>
              <w:jc w:val="center"/>
              <w:rPr>
                <w:rFonts w:hint="default"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专用业绩要求</w:t>
            </w:r>
          </w:p>
        </w:tc>
        <w:tc>
          <w:tcPr>
            <w:tcW w:w="413" w:type="pct"/>
            <w:shd w:val="clear" w:color="auto" w:fill="auto"/>
            <w:vAlign w:val="center"/>
          </w:tcPr>
          <w:p>
            <w:pPr>
              <w:widowControl/>
              <w:spacing w:line="240" w:lineRule="auto"/>
              <w:jc w:val="center"/>
              <w:rPr>
                <w:rFonts w:hint="default"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2" w:hRule="atLeast"/>
          <w:jc w:val="center"/>
        </w:trPr>
        <w:tc>
          <w:tcPr>
            <w:tcW w:w="382" w:type="pct"/>
            <w:vAlign w:val="center"/>
          </w:tcPr>
          <w:p>
            <w:pPr>
              <w:widowControl/>
              <w:spacing w:line="240" w:lineRule="auto"/>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val="en-US" w:eastAsia="zh-CN"/>
              </w:rPr>
              <w:t>计量箱蚀刻服务项目</w:t>
            </w:r>
          </w:p>
        </w:tc>
        <w:tc>
          <w:tcPr>
            <w:tcW w:w="318" w:type="pct"/>
            <w:shd w:val="clear" w:color="auto" w:fill="auto"/>
            <w:vAlign w:val="center"/>
          </w:tcPr>
          <w:p>
            <w:pPr>
              <w:spacing w:line="240" w:lineRule="auto"/>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val="en-US" w:eastAsia="zh-CN"/>
              </w:rPr>
              <w:t>计量箱蚀刻服务</w:t>
            </w:r>
          </w:p>
        </w:tc>
        <w:tc>
          <w:tcPr>
            <w:tcW w:w="871" w:type="pct"/>
            <w:shd w:val="clear" w:color="auto" w:fill="auto"/>
            <w:vAlign w:val="center"/>
          </w:tcPr>
          <w:p>
            <w:pPr>
              <w:spacing w:line="240" w:lineRule="auto"/>
              <w:jc w:val="left"/>
              <w:rPr>
                <w:rFonts w:ascii="仿宋" w:hAnsi="仿宋" w:eastAsia="仿宋" w:cs="Arial"/>
                <w:color w:val="000000" w:themeColor="text1"/>
                <w:kern w:val="0"/>
                <w:sz w:val="22"/>
                <w:szCs w:val="22"/>
                <w:highlight w:val="none"/>
              </w:rPr>
            </w:pPr>
            <w:r>
              <w:rPr>
                <w:rFonts w:hint="eastAsia" w:ascii="仿宋" w:hAnsi="仿宋" w:eastAsia="仿宋"/>
                <w:color w:val="000000" w:themeColor="text1"/>
                <w:sz w:val="22"/>
                <w:szCs w:val="22"/>
                <w:highlight w:val="none"/>
                <w:lang w:val="en-US" w:eastAsia="zh-CN"/>
              </w:rPr>
              <w:t>按照现行国家、行业及国家电网公司有关法规、规范和技术规程的要求，</w:t>
            </w:r>
            <w:r>
              <w:rPr>
                <w:rFonts w:hint="eastAsia" w:ascii="仿宋" w:hAnsi="仿宋" w:eastAsia="仿宋" w:cs="宋体"/>
                <w:color w:val="000000" w:themeColor="text1"/>
                <w:kern w:val="0"/>
                <w:sz w:val="22"/>
                <w:szCs w:val="22"/>
                <w:highlight w:val="none"/>
                <w:lang w:val="en-US" w:eastAsia="zh-CN" w:bidi="ar-SA"/>
              </w:rPr>
              <w:t>通过手机登录计量箱建档App进行编号预申请、电能表扫描、表位及行列信息采录、材质及产权信息采录、计量箱条码维护、位置信息采录、制造单位信息采录、箱组关系维护、箱表关系采录、箱内电能表数量验证、打码预览、结果验证、拍照，并</w:t>
            </w:r>
            <w:r>
              <w:rPr>
                <w:rFonts w:hint="eastAsia" w:ascii="仿宋" w:hAnsi="仿宋" w:eastAsia="仿宋"/>
                <w:color w:val="000000" w:themeColor="text1"/>
                <w:sz w:val="22"/>
                <w:szCs w:val="22"/>
                <w:highlight w:val="none"/>
                <w:lang w:val="en-US" w:eastAsia="zh-CN"/>
              </w:rPr>
              <w:t>利用激光打码技术，完成计量箱的资产码激光蚀刻，确保计量箱二维码蚀刻规范统一，满足甲方及业主方统一资产码蚀刻要求。</w:t>
            </w:r>
          </w:p>
        </w:tc>
        <w:tc>
          <w:tcPr>
            <w:tcW w:w="333" w:type="pct"/>
            <w:shd w:val="clear" w:color="000000" w:fill="FFFFFF"/>
            <w:vAlign w:val="center"/>
          </w:tcPr>
          <w:p>
            <w:pPr>
              <w:spacing w:line="240" w:lineRule="auto"/>
              <w:jc w:val="center"/>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只</w:t>
            </w:r>
          </w:p>
        </w:tc>
        <w:tc>
          <w:tcPr>
            <w:tcW w:w="378" w:type="pct"/>
            <w:shd w:val="clear" w:color="000000" w:fill="FFFFFF"/>
            <w:vAlign w:val="center"/>
          </w:tcPr>
          <w:p>
            <w:pPr>
              <w:spacing w:line="240" w:lineRule="auto"/>
              <w:jc w:val="center"/>
              <w:rPr>
                <w:rFonts w:hint="default"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402378</w:t>
            </w:r>
          </w:p>
        </w:tc>
        <w:tc>
          <w:tcPr>
            <w:tcW w:w="372" w:type="pct"/>
            <w:shd w:val="clear" w:color="auto" w:fill="auto"/>
            <w:vAlign w:val="center"/>
          </w:tcPr>
          <w:p>
            <w:pPr>
              <w:widowControl/>
              <w:spacing w:line="240" w:lineRule="auto"/>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1年</w:t>
            </w:r>
          </w:p>
        </w:tc>
        <w:tc>
          <w:tcPr>
            <w:tcW w:w="338" w:type="pct"/>
            <w:shd w:val="clear" w:color="auto" w:fill="auto"/>
            <w:vAlign w:val="center"/>
          </w:tcPr>
          <w:p>
            <w:pPr>
              <w:widowControl/>
              <w:spacing w:line="240" w:lineRule="auto"/>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1年</w:t>
            </w:r>
          </w:p>
        </w:tc>
        <w:tc>
          <w:tcPr>
            <w:tcW w:w="990" w:type="pct"/>
            <w:shd w:val="clear" w:color="auto" w:fill="auto"/>
            <w:vAlign w:val="center"/>
          </w:tcPr>
          <w:p>
            <w:pPr>
              <w:widowControl/>
              <w:numPr>
                <w:ilvl w:val="0"/>
                <w:numId w:val="1"/>
              </w:numPr>
              <w:spacing w:line="240" w:lineRule="auto"/>
              <w:jc w:val="center"/>
              <w:rPr>
                <w:rFonts w:hint="eastAsia" w:ascii="仿宋" w:hAnsi="仿宋" w:eastAsia="仿宋" w:cs="宋体"/>
                <w:color w:val="000000" w:themeColor="text1"/>
                <w:kern w:val="0"/>
                <w:sz w:val="22"/>
                <w:szCs w:val="22"/>
                <w:highlight w:val="none"/>
                <w:lang w:val="en-US" w:eastAsia="zh-CN" w:bidi="ar-SA"/>
              </w:rPr>
            </w:pPr>
            <w:r>
              <w:rPr>
                <w:rFonts w:hint="eastAsia" w:ascii="仿宋" w:hAnsi="仿宋" w:eastAsia="仿宋" w:cs="宋体"/>
                <w:color w:val="000000" w:themeColor="text1"/>
                <w:kern w:val="0"/>
                <w:sz w:val="22"/>
                <w:szCs w:val="22"/>
                <w:highlight w:val="none"/>
                <w:lang w:val="en-US" w:eastAsia="zh-CN" w:bidi="ar-SA"/>
              </w:rPr>
              <w:t>供应商要求：供应商应具有独立订立合同的法人资格。</w:t>
            </w:r>
          </w:p>
          <w:p>
            <w:pPr>
              <w:widowControl/>
              <w:numPr>
                <w:ilvl w:val="0"/>
                <w:numId w:val="1"/>
              </w:numPr>
              <w:spacing w:line="240" w:lineRule="auto"/>
              <w:jc w:val="center"/>
              <w:rPr>
                <w:rFonts w:hint="eastAsia" w:ascii="仿宋" w:hAnsi="仿宋" w:eastAsia="仿宋" w:cs="宋体"/>
                <w:color w:val="000000" w:themeColor="text1"/>
                <w:kern w:val="0"/>
                <w:sz w:val="22"/>
                <w:szCs w:val="22"/>
                <w:highlight w:val="none"/>
                <w:lang w:val="en-US" w:eastAsia="zh-CN" w:bidi="ar-SA"/>
              </w:rPr>
            </w:pPr>
            <w:r>
              <w:rPr>
                <w:rFonts w:hint="eastAsia" w:ascii="仿宋" w:hAnsi="仿宋" w:eastAsia="仿宋" w:cs="宋体"/>
                <w:color w:val="000000" w:themeColor="text1"/>
                <w:kern w:val="0"/>
                <w:sz w:val="22"/>
                <w:szCs w:val="22"/>
                <w:highlight w:val="none"/>
                <w:lang w:val="en-US" w:eastAsia="zh-CN" w:bidi="ar-SA"/>
              </w:rPr>
              <w:t>有效的安全生产许可证：具备有效的安全生产许可证。</w:t>
            </w:r>
          </w:p>
          <w:p>
            <w:pPr>
              <w:widowControl/>
              <w:numPr>
                <w:ilvl w:val="0"/>
                <w:numId w:val="1"/>
              </w:numPr>
              <w:spacing w:line="240" w:lineRule="auto"/>
              <w:jc w:val="center"/>
              <w:rPr>
                <w:rFonts w:hint="eastAsia" w:ascii="仿宋" w:hAnsi="仿宋" w:eastAsia="仿宋" w:cs="宋体"/>
                <w:color w:val="000000" w:themeColor="text1"/>
                <w:kern w:val="0"/>
                <w:sz w:val="22"/>
                <w:szCs w:val="22"/>
                <w:highlight w:val="none"/>
                <w:lang w:val="en-US" w:eastAsia="zh-CN" w:bidi="ar-SA"/>
              </w:rPr>
            </w:pPr>
            <w:r>
              <w:rPr>
                <w:rFonts w:hint="eastAsia" w:ascii="仿宋" w:hAnsi="仿宋" w:eastAsia="仿宋" w:cs="宋体"/>
                <w:color w:val="000000" w:themeColor="text1"/>
                <w:kern w:val="0"/>
                <w:sz w:val="22"/>
                <w:szCs w:val="22"/>
                <w:highlight w:val="none"/>
                <w:lang w:val="en-US" w:eastAsia="zh-CN" w:bidi="ar-SA"/>
              </w:rPr>
              <w:t>有效的资质等级证书：具备建设行政主管部门颁发的电力工程施工总承包三级及以上或输变电工程专业承包三级及以上资质或具备电力监管机构核发的《承装（修、试）电力设施许可证》，许可范围包含五级及以上承装或承修。</w:t>
            </w:r>
          </w:p>
          <w:p>
            <w:pPr>
              <w:widowControl/>
              <w:numPr>
                <w:ilvl w:val="0"/>
                <w:numId w:val="1"/>
              </w:numPr>
              <w:spacing w:line="240" w:lineRule="auto"/>
              <w:jc w:val="center"/>
              <w:rPr>
                <w:rFonts w:hint="eastAsia" w:ascii="仿宋" w:hAnsi="仿宋" w:eastAsia="仿宋" w:cs="宋体"/>
                <w:color w:val="000000" w:themeColor="text1"/>
                <w:kern w:val="0"/>
                <w:sz w:val="22"/>
                <w:szCs w:val="22"/>
                <w:highlight w:val="none"/>
                <w:lang w:val="en-US" w:eastAsia="zh-CN" w:bidi="ar-SA"/>
              </w:rPr>
            </w:pPr>
            <w:r>
              <w:rPr>
                <w:rFonts w:hint="eastAsia" w:ascii="仿宋" w:hAnsi="仿宋" w:eastAsia="仿宋" w:cs="宋体"/>
                <w:color w:val="000000" w:themeColor="text1"/>
                <w:kern w:val="0"/>
                <w:sz w:val="22"/>
                <w:szCs w:val="22"/>
                <w:highlight w:val="none"/>
                <w:lang w:val="en-US" w:eastAsia="zh-CN" w:bidi="ar-SA"/>
              </w:rPr>
              <w:t>备注：不接受联合体投标</w:t>
            </w:r>
          </w:p>
        </w:tc>
        <w:tc>
          <w:tcPr>
            <w:tcW w:w="600" w:type="pct"/>
            <w:shd w:val="clear" w:color="auto" w:fill="auto"/>
            <w:vAlign w:val="center"/>
          </w:tcPr>
          <w:p>
            <w:pPr>
              <w:widowControl/>
              <w:numPr>
                <w:ilvl w:val="0"/>
                <w:numId w:val="0"/>
              </w:numPr>
              <w:spacing w:line="240" w:lineRule="auto"/>
              <w:jc w:val="both"/>
              <w:rPr>
                <w:rFonts w:hint="eastAsia" w:ascii="仿宋" w:hAnsi="仿宋" w:eastAsia="仿宋" w:cs="宋体"/>
                <w:color w:val="000000" w:themeColor="text1"/>
                <w:kern w:val="0"/>
                <w:sz w:val="22"/>
                <w:szCs w:val="22"/>
                <w:highlight w:val="none"/>
                <w:lang w:val="en-US" w:eastAsia="zh-CN" w:bidi="ar-SA"/>
              </w:rPr>
            </w:pPr>
            <w:r>
              <w:rPr>
                <w:rFonts w:hint="eastAsia" w:ascii="仿宋" w:hAnsi="仿宋" w:eastAsia="仿宋" w:cs="宋体"/>
                <w:color w:val="000000" w:themeColor="text1"/>
                <w:kern w:val="0"/>
                <w:sz w:val="22"/>
                <w:szCs w:val="22"/>
                <w:highlight w:val="none"/>
                <w:lang w:val="en-US" w:eastAsia="zh-CN" w:bidi="ar-SA"/>
              </w:rPr>
              <w:t>完成过与招标项目相类似的同等或以上技术要求的项目：2020年1月1日至招标采购公告发布日止，完成过计量箱更换或计量箱蚀刻服务项目不少于2份且合同额累计不低于250万。注：业绩必须提供对应的合同复印件。</w:t>
            </w:r>
          </w:p>
        </w:tc>
        <w:tc>
          <w:tcPr>
            <w:tcW w:w="413" w:type="pct"/>
            <w:shd w:val="clear" w:color="auto" w:fill="auto"/>
            <w:vAlign w:val="center"/>
          </w:tcPr>
          <w:p>
            <w:pPr>
              <w:widowControl/>
              <w:spacing w:line="240" w:lineRule="auto"/>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5</w:t>
            </w:r>
          </w:p>
        </w:tc>
      </w:tr>
    </w:tbl>
    <w:p>
      <w:pPr>
        <w:pStyle w:val="15"/>
        <w:numPr>
          <w:ilvl w:val="0"/>
          <w:numId w:val="0"/>
        </w:numPr>
        <w:spacing w:line="240" w:lineRule="auto"/>
        <w:ind w:leftChars="-170" w:firstLine="440" w:firstLineChars="200"/>
        <w:outlineLvl w:val="0"/>
        <w:rPr>
          <w:rFonts w:hint="eastAsia"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lang w:eastAsia="zh-CN"/>
        </w:rPr>
        <w:t>具体服务不局限于上述需求一览表。应包括上述服务相关延伸服务及产品，类似升级服务及相关产品。</w:t>
      </w:r>
    </w:p>
    <w:p>
      <w:pPr>
        <w:spacing w:line="240" w:lineRule="auto"/>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备注：</w:t>
      </w:r>
    </w:p>
    <w:p>
      <w:pPr>
        <w:spacing w:line="240" w:lineRule="auto"/>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pacing w:line="240" w:lineRule="auto"/>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2.投标文件中提供的证明材料复印件应复印清晰、可辨认且不得遮盖、涂抹，否则视为无效。</w:t>
      </w:r>
    </w:p>
    <w:p>
      <w:pPr>
        <w:rPr>
          <w:rFonts w:hint="eastAsia"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br w:type="page"/>
      </w:r>
    </w:p>
    <w:p>
      <w:pPr>
        <w:pStyle w:val="2"/>
        <w:rPr>
          <w:highlight w:val="none"/>
        </w:rPr>
      </w:pPr>
    </w:p>
    <w:p>
      <w:pPr>
        <w:rPr>
          <w:highlight w:val="none"/>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F5604"/>
    <w:multiLevelType w:val="singleLevel"/>
    <w:tmpl w:val="8DCF56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VjNTE0MzIzMTQwNjNjMjhkYTc4ZjlhMTk4Yjc1MjgifQ=="/>
  </w:docVars>
  <w:rsids>
    <w:rsidRoot w:val="00F07759"/>
    <w:rsid w:val="00087175"/>
    <w:rsid w:val="000E5393"/>
    <w:rsid w:val="0012775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381A41"/>
    <w:rsid w:val="024E0501"/>
    <w:rsid w:val="042B3D4F"/>
    <w:rsid w:val="046D3D86"/>
    <w:rsid w:val="04E72BB1"/>
    <w:rsid w:val="05CA21F9"/>
    <w:rsid w:val="05D654CD"/>
    <w:rsid w:val="06CD2089"/>
    <w:rsid w:val="089F25C6"/>
    <w:rsid w:val="09002B02"/>
    <w:rsid w:val="0961311E"/>
    <w:rsid w:val="0AF34D05"/>
    <w:rsid w:val="0B42259C"/>
    <w:rsid w:val="0B6B6322"/>
    <w:rsid w:val="0C6745F0"/>
    <w:rsid w:val="0C6B6663"/>
    <w:rsid w:val="0CD22C69"/>
    <w:rsid w:val="0D0269A1"/>
    <w:rsid w:val="0D7E729B"/>
    <w:rsid w:val="0F2E4A6E"/>
    <w:rsid w:val="0F4B48EC"/>
    <w:rsid w:val="0F6D0760"/>
    <w:rsid w:val="0F895414"/>
    <w:rsid w:val="0F8A7B0F"/>
    <w:rsid w:val="10002197"/>
    <w:rsid w:val="101073BE"/>
    <w:rsid w:val="106629F6"/>
    <w:rsid w:val="108D7E4D"/>
    <w:rsid w:val="109825F0"/>
    <w:rsid w:val="10DC408D"/>
    <w:rsid w:val="12065612"/>
    <w:rsid w:val="121F3C87"/>
    <w:rsid w:val="1395152B"/>
    <w:rsid w:val="14263A91"/>
    <w:rsid w:val="14DD7437"/>
    <w:rsid w:val="14E7063D"/>
    <w:rsid w:val="14ED5535"/>
    <w:rsid w:val="152109A0"/>
    <w:rsid w:val="15D93023"/>
    <w:rsid w:val="15DE5ED6"/>
    <w:rsid w:val="164C4D8E"/>
    <w:rsid w:val="172C17A9"/>
    <w:rsid w:val="179A6928"/>
    <w:rsid w:val="17A97DE2"/>
    <w:rsid w:val="17DB5B4C"/>
    <w:rsid w:val="187022FD"/>
    <w:rsid w:val="18EA3261"/>
    <w:rsid w:val="18FD3F6F"/>
    <w:rsid w:val="19096657"/>
    <w:rsid w:val="19A5125A"/>
    <w:rsid w:val="1A2D70B4"/>
    <w:rsid w:val="1A306F84"/>
    <w:rsid w:val="1A833EC2"/>
    <w:rsid w:val="1ABB017E"/>
    <w:rsid w:val="1B75596D"/>
    <w:rsid w:val="1B8062A2"/>
    <w:rsid w:val="1CD62B36"/>
    <w:rsid w:val="1CE21F90"/>
    <w:rsid w:val="1DAE7DCF"/>
    <w:rsid w:val="1E1038E4"/>
    <w:rsid w:val="1E9820B0"/>
    <w:rsid w:val="1EFA5CD2"/>
    <w:rsid w:val="1F3969C0"/>
    <w:rsid w:val="1F4262AB"/>
    <w:rsid w:val="206378E1"/>
    <w:rsid w:val="20AC270D"/>
    <w:rsid w:val="20AF1FA9"/>
    <w:rsid w:val="211F423F"/>
    <w:rsid w:val="217D69B9"/>
    <w:rsid w:val="219C4862"/>
    <w:rsid w:val="22343EB9"/>
    <w:rsid w:val="22901FF9"/>
    <w:rsid w:val="2299232C"/>
    <w:rsid w:val="22F0607C"/>
    <w:rsid w:val="233D2C3A"/>
    <w:rsid w:val="23492DD2"/>
    <w:rsid w:val="23804CB9"/>
    <w:rsid w:val="23A60508"/>
    <w:rsid w:val="24401449"/>
    <w:rsid w:val="25353F86"/>
    <w:rsid w:val="253B43C5"/>
    <w:rsid w:val="2634607D"/>
    <w:rsid w:val="2671336B"/>
    <w:rsid w:val="27025F5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CAB1F8D"/>
    <w:rsid w:val="2DFF4C45"/>
    <w:rsid w:val="2E0C1AB8"/>
    <w:rsid w:val="2E2D7AE9"/>
    <w:rsid w:val="2E3D58F0"/>
    <w:rsid w:val="2F380C61"/>
    <w:rsid w:val="2FB322B7"/>
    <w:rsid w:val="2FC84E3A"/>
    <w:rsid w:val="31A61791"/>
    <w:rsid w:val="31C56881"/>
    <w:rsid w:val="31D73940"/>
    <w:rsid w:val="33B10D29"/>
    <w:rsid w:val="342F5CDB"/>
    <w:rsid w:val="34766267"/>
    <w:rsid w:val="351A272F"/>
    <w:rsid w:val="353C01A6"/>
    <w:rsid w:val="355A3E14"/>
    <w:rsid w:val="35E05426"/>
    <w:rsid w:val="37685518"/>
    <w:rsid w:val="37775DB9"/>
    <w:rsid w:val="391D3D61"/>
    <w:rsid w:val="395150CA"/>
    <w:rsid w:val="3A8D15F7"/>
    <w:rsid w:val="3B245E62"/>
    <w:rsid w:val="3B8E718B"/>
    <w:rsid w:val="3B940012"/>
    <w:rsid w:val="3BA02539"/>
    <w:rsid w:val="3BD715E3"/>
    <w:rsid w:val="3D6101B3"/>
    <w:rsid w:val="3DAA36C5"/>
    <w:rsid w:val="3F506B7A"/>
    <w:rsid w:val="3FA45657"/>
    <w:rsid w:val="3FC424E1"/>
    <w:rsid w:val="404B3A6E"/>
    <w:rsid w:val="40687B37"/>
    <w:rsid w:val="40884242"/>
    <w:rsid w:val="40950B98"/>
    <w:rsid w:val="40CF0912"/>
    <w:rsid w:val="414D39CE"/>
    <w:rsid w:val="41D73C80"/>
    <w:rsid w:val="431C5F81"/>
    <w:rsid w:val="43225F59"/>
    <w:rsid w:val="43426EC1"/>
    <w:rsid w:val="4369452A"/>
    <w:rsid w:val="438644AA"/>
    <w:rsid w:val="43CA7942"/>
    <w:rsid w:val="44151069"/>
    <w:rsid w:val="45071372"/>
    <w:rsid w:val="451F48EE"/>
    <w:rsid w:val="454F66D8"/>
    <w:rsid w:val="4558609E"/>
    <w:rsid w:val="457A2E3A"/>
    <w:rsid w:val="45855E35"/>
    <w:rsid w:val="45F31230"/>
    <w:rsid w:val="464F52D7"/>
    <w:rsid w:val="46E46B3F"/>
    <w:rsid w:val="47111A67"/>
    <w:rsid w:val="479478A0"/>
    <w:rsid w:val="49375E89"/>
    <w:rsid w:val="49E00010"/>
    <w:rsid w:val="4AE25091"/>
    <w:rsid w:val="4B991A97"/>
    <w:rsid w:val="4BE1690E"/>
    <w:rsid w:val="4C024CD6"/>
    <w:rsid w:val="4DE507C2"/>
    <w:rsid w:val="4E39053A"/>
    <w:rsid w:val="4F664640"/>
    <w:rsid w:val="4FB764FC"/>
    <w:rsid w:val="503E2A09"/>
    <w:rsid w:val="504E07CA"/>
    <w:rsid w:val="505912F5"/>
    <w:rsid w:val="50637B38"/>
    <w:rsid w:val="506C051D"/>
    <w:rsid w:val="50C05D0B"/>
    <w:rsid w:val="50F316BC"/>
    <w:rsid w:val="51D35A9F"/>
    <w:rsid w:val="527E4FBE"/>
    <w:rsid w:val="534B5D10"/>
    <w:rsid w:val="551A14A5"/>
    <w:rsid w:val="55FD043C"/>
    <w:rsid w:val="56BF5AA4"/>
    <w:rsid w:val="571B1C31"/>
    <w:rsid w:val="57C03084"/>
    <w:rsid w:val="57C2358D"/>
    <w:rsid w:val="585F7DC6"/>
    <w:rsid w:val="59064B47"/>
    <w:rsid w:val="5A0E6771"/>
    <w:rsid w:val="5A1C5082"/>
    <w:rsid w:val="5A6C6EC0"/>
    <w:rsid w:val="5AA159FD"/>
    <w:rsid w:val="5AB31E7E"/>
    <w:rsid w:val="5AC9471C"/>
    <w:rsid w:val="5B424D5F"/>
    <w:rsid w:val="5B49165D"/>
    <w:rsid w:val="5B8A1302"/>
    <w:rsid w:val="5C386706"/>
    <w:rsid w:val="5C837F8B"/>
    <w:rsid w:val="5C8A31FB"/>
    <w:rsid w:val="5D245AC0"/>
    <w:rsid w:val="5DCD6ED7"/>
    <w:rsid w:val="5DF94D6D"/>
    <w:rsid w:val="5E12718B"/>
    <w:rsid w:val="5F264CF4"/>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C954D1F"/>
    <w:rsid w:val="6D0039E6"/>
    <w:rsid w:val="6DFF121E"/>
    <w:rsid w:val="6E4B1CB1"/>
    <w:rsid w:val="6E716C56"/>
    <w:rsid w:val="6EF2290D"/>
    <w:rsid w:val="6FD31DFE"/>
    <w:rsid w:val="7019449F"/>
    <w:rsid w:val="705B05D0"/>
    <w:rsid w:val="708B638F"/>
    <w:rsid w:val="708E04C5"/>
    <w:rsid w:val="709D57C8"/>
    <w:rsid w:val="70F4233C"/>
    <w:rsid w:val="70FD5A41"/>
    <w:rsid w:val="71686ACA"/>
    <w:rsid w:val="71AA67BF"/>
    <w:rsid w:val="71E6726A"/>
    <w:rsid w:val="71FE2EF0"/>
    <w:rsid w:val="732433BA"/>
    <w:rsid w:val="733C35D5"/>
    <w:rsid w:val="73446FAE"/>
    <w:rsid w:val="73692775"/>
    <w:rsid w:val="73E233A6"/>
    <w:rsid w:val="74400F6C"/>
    <w:rsid w:val="748F4ADC"/>
    <w:rsid w:val="751A7727"/>
    <w:rsid w:val="75427BF8"/>
    <w:rsid w:val="756538F4"/>
    <w:rsid w:val="7667358E"/>
    <w:rsid w:val="76EB7264"/>
    <w:rsid w:val="7895679E"/>
    <w:rsid w:val="78A22C2A"/>
    <w:rsid w:val="78E5635C"/>
    <w:rsid w:val="790F40FC"/>
    <w:rsid w:val="792B0B52"/>
    <w:rsid w:val="7AA82E41"/>
    <w:rsid w:val="7BD81B9B"/>
    <w:rsid w:val="7CA47EC1"/>
    <w:rsid w:val="7D2A1789"/>
    <w:rsid w:val="7D81659A"/>
    <w:rsid w:val="7DA77C5D"/>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Normal_1"/>
    <w:qFormat/>
    <w:uiPriority w:val="0"/>
    <w:pPr>
      <w:widowControl w:val="0"/>
      <w:jc w:val="both"/>
    </w:pPr>
    <w:rPr>
      <w:rFonts w:ascii="Times New Roman" w:hAnsi="Times New Roman" w:eastAsia="宋体" w:cs="Times New Roman"/>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3425</Words>
  <Characters>3878</Characters>
  <Lines>28</Lines>
  <Paragraphs>8</Paragraphs>
  <TotalTime>1</TotalTime>
  <ScaleCrop>false</ScaleCrop>
  <LinksUpToDate>false</LinksUpToDate>
  <CharactersWithSpaces>3900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WPS_1671083447</cp:lastModifiedBy>
  <dcterms:modified xsi:type="dcterms:W3CDTF">2023-07-06T13:09:59Z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6F2B01104285491D858606FBE43B4915</vt:lpwstr>
  </property>
</Properties>
</file>