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hint="eastAsia" w:ascii="仿宋" w:hAnsi="仿宋" w:eastAsia="仿宋"/>
          <w:b/>
          <w:color w:val="auto"/>
          <w:sz w:val="24"/>
          <w:szCs w:val="24"/>
          <w:highlight w:val="none"/>
        </w:rPr>
      </w:pPr>
      <w:bookmarkStart w:id="1" w:name="_GoBack"/>
      <w:bookmarkEnd w:id="1"/>
      <w:r>
        <w:rPr>
          <w:rFonts w:hint="eastAsia" w:ascii="仿宋" w:hAnsi="仿宋" w:eastAsia="仿宋"/>
          <w:b/>
          <w:color w:val="auto"/>
          <w:sz w:val="24"/>
          <w:szCs w:val="24"/>
          <w:highlight w:val="none"/>
        </w:rPr>
        <w:t>附件1   招标需求一览表</w:t>
      </w:r>
    </w:p>
    <w:p>
      <w:pPr>
        <w:pStyle w:val="17"/>
        <w:rPr>
          <w:rFonts w:hint="default"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分标一：通道隐患识别组件采购项目</w:t>
      </w:r>
    </w:p>
    <w:tbl>
      <w:tblPr>
        <w:tblStyle w:val="9"/>
        <w:tblW w:w="12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800"/>
        <w:gridCol w:w="1550"/>
        <w:gridCol w:w="750"/>
        <w:gridCol w:w="700"/>
        <w:gridCol w:w="1633"/>
        <w:gridCol w:w="534"/>
        <w:gridCol w:w="1150"/>
        <w:gridCol w:w="1933"/>
        <w:gridCol w:w="1713"/>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02" w:type="dxa"/>
            <w:vAlign w:val="center"/>
          </w:tcPr>
          <w:p>
            <w:pPr>
              <w:widowControl/>
              <w:jc w:val="center"/>
              <w:rPr>
                <w:rFonts w:hint="default" w:ascii="仿宋" w:hAnsi="仿宋" w:eastAsia="仿宋" w:cs="Arial"/>
                <w:b/>
                <w:bCs/>
                <w:kern w:val="0"/>
                <w:sz w:val="22"/>
                <w:szCs w:val="22"/>
                <w:highlight w:val="none"/>
                <w:lang w:val="en-US" w:eastAsia="zh-CN"/>
              </w:rPr>
            </w:pPr>
            <w:bookmarkStart w:id="0" w:name="商务初评模板"/>
            <w:r>
              <w:rPr>
                <w:rFonts w:hint="eastAsia" w:ascii="仿宋" w:hAnsi="仿宋" w:eastAsia="仿宋" w:cs="Arial"/>
                <w:b/>
                <w:bCs/>
                <w:kern w:val="0"/>
                <w:sz w:val="22"/>
                <w:szCs w:val="22"/>
                <w:highlight w:val="none"/>
                <w:lang w:val="en-US" w:eastAsia="zh-CN"/>
              </w:rPr>
              <w:t>项目名称</w:t>
            </w:r>
          </w:p>
        </w:tc>
        <w:tc>
          <w:tcPr>
            <w:tcW w:w="800"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物资名称</w:t>
            </w:r>
          </w:p>
        </w:tc>
        <w:tc>
          <w:tcPr>
            <w:tcW w:w="1550"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主要技术要求</w:t>
            </w:r>
          </w:p>
        </w:tc>
        <w:tc>
          <w:tcPr>
            <w:tcW w:w="750"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单位</w:t>
            </w:r>
          </w:p>
        </w:tc>
        <w:tc>
          <w:tcPr>
            <w:tcW w:w="700"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数量</w:t>
            </w:r>
          </w:p>
        </w:tc>
        <w:tc>
          <w:tcPr>
            <w:tcW w:w="1633"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交货日期</w:t>
            </w:r>
          </w:p>
        </w:tc>
        <w:tc>
          <w:tcPr>
            <w:tcW w:w="534" w:type="dxa"/>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质保期</w:t>
            </w:r>
          </w:p>
        </w:tc>
        <w:tc>
          <w:tcPr>
            <w:tcW w:w="1150"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交货地点</w:t>
            </w:r>
          </w:p>
        </w:tc>
        <w:tc>
          <w:tcPr>
            <w:tcW w:w="1933" w:type="dxa"/>
            <w:shd w:val="clear" w:color="auto" w:fill="auto"/>
            <w:vAlign w:val="center"/>
          </w:tcPr>
          <w:p>
            <w:pPr>
              <w:widowControl/>
              <w:shd w:val="clear"/>
              <w:jc w:val="center"/>
              <w:rPr>
                <w:rFonts w:hint="default" w:ascii="仿宋" w:hAnsi="仿宋" w:eastAsia="仿宋" w:cs="Arial"/>
                <w:b/>
                <w:bCs/>
                <w:kern w:val="0"/>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专用资质要求</w:t>
            </w:r>
          </w:p>
        </w:tc>
        <w:tc>
          <w:tcPr>
            <w:tcW w:w="1713" w:type="dxa"/>
            <w:shd w:val="clear" w:color="auto" w:fill="auto"/>
            <w:vAlign w:val="center"/>
          </w:tcPr>
          <w:p>
            <w:pPr>
              <w:widowControl/>
              <w:shd w:val="clear"/>
              <w:jc w:val="center"/>
              <w:rPr>
                <w:rFonts w:hint="eastAsia" w:ascii="仿宋" w:hAnsi="仿宋" w:eastAsia="仿宋" w:cs="Arial"/>
                <w:b/>
                <w:bCs/>
                <w:kern w:val="0"/>
                <w:sz w:val="22"/>
                <w:szCs w:val="22"/>
                <w:highlight w:val="none"/>
              </w:rPr>
            </w:pPr>
            <w:r>
              <w:rPr>
                <w:rFonts w:hint="eastAsia" w:ascii="仿宋" w:hAnsi="仿宋" w:eastAsia="仿宋" w:cs="仿宋"/>
                <w:b/>
                <w:bCs/>
                <w:color w:val="auto"/>
                <w:kern w:val="0"/>
                <w:sz w:val="22"/>
                <w:szCs w:val="22"/>
                <w:highlight w:val="none"/>
                <w:lang w:val="en-US" w:eastAsia="zh-CN"/>
              </w:rPr>
              <w:t>专用业绩要求</w:t>
            </w:r>
          </w:p>
        </w:tc>
        <w:tc>
          <w:tcPr>
            <w:tcW w:w="1004" w:type="dxa"/>
            <w:shd w:val="clear" w:color="auto" w:fill="auto"/>
            <w:vAlign w:val="center"/>
          </w:tcPr>
          <w:p>
            <w:pPr>
              <w:widowControl/>
              <w:shd w:val="clear"/>
              <w:jc w:val="center"/>
              <w:rPr>
                <w:rFonts w:hint="eastAsia" w:ascii="仿宋" w:hAnsi="仿宋" w:eastAsia="仿宋" w:cs="Arial"/>
                <w:b/>
                <w:bCs/>
                <w:kern w:val="0"/>
                <w:sz w:val="22"/>
                <w:szCs w:val="22"/>
                <w:highlight w:val="none"/>
              </w:rPr>
            </w:pPr>
            <w:r>
              <w:rPr>
                <w:rFonts w:hint="eastAsia" w:ascii="仿宋" w:hAnsi="仿宋" w:eastAsia="仿宋" w:cs="仿宋"/>
                <w:b/>
                <w:bCs/>
                <w:color w:val="auto"/>
                <w:kern w:val="0"/>
                <w:sz w:val="22"/>
                <w:szCs w:val="22"/>
                <w:highlight w:val="none"/>
                <w:lang w:val="en-US"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02" w:type="dxa"/>
            <w:vAlign w:val="center"/>
          </w:tcPr>
          <w:p>
            <w:pPr>
              <w:widowControl/>
              <w:jc w:val="center"/>
              <w:rPr>
                <w:rFonts w:ascii="仿宋" w:hAnsi="仿宋" w:eastAsia="仿宋" w:cs="Arial"/>
                <w:kern w:val="0"/>
                <w:sz w:val="24"/>
                <w:szCs w:val="24"/>
                <w:highlight w:val="none"/>
              </w:rPr>
            </w:pPr>
            <w:r>
              <w:rPr>
                <w:rFonts w:hint="eastAsia" w:ascii="仿宋" w:hAnsi="仿宋" w:eastAsia="仿宋"/>
                <w:color w:val="000000"/>
                <w:sz w:val="24"/>
                <w:szCs w:val="24"/>
                <w:highlight w:val="none"/>
              </w:rPr>
              <w:t>通道隐患识别组件采购项目</w:t>
            </w:r>
          </w:p>
        </w:tc>
        <w:tc>
          <w:tcPr>
            <w:tcW w:w="800" w:type="dxa"/>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sz w:val="24"/>
                <w:szCs w:val="24"/>
                <w:highlight w:val="none"/>
              </w:rPr>
              <w:t>通道隐患识别组件</w:t>
            </w:r>
          </w:p>
        </w:tc>
        <w:tc>
          <w:tcPr>
            <w:tcW w:w="1550" w:type="dxa"/>
            <w:shd w:val="clear" w:color="auto" w:fill="auto"/>
            <w:vAlign w:val="center"/>
          </w:tcPr>
          <w:p>
            <w:pPr>
              <w:rPr>
                <w:rFonts w:ascii="仿宋" w:hAnsi="仿宋" w:eastAsia="仿宋"/>
                <w:sz w:val="24"/>
                <w:szCs w:val="24"/>
                <w:highlight w:val="none"/>
              </w:rPr>
            </w:pPr>
            <w:r>
              <w:rPr>
                <w:rFonts w:hint="eastAsia" w:ascii="仿宋" w:hAnsi="仿宋" w:eastAsia="仿宋" w:cs="Arial"/>
                <w:kern w:val="0"/>
                <w:sz w:val="24"/>
                <w:szCs w:val="24"/>
                <w:highlight w:val="none"/>
              </w:rPr>
              <w:t>图像分辨率</w:t>
            </w:r>
            <w:r>
              <w:rPr>
                <w:rFonts w:hint="eastAsia" w:ascii="仿宋" w:hAnsi="仿宋" w:eastAsia="仿宋"/>
                <w:sz w:val="24"/>
                <w:szCs w:val="24"/>
                <w:highlight w:val="none"/>
              </w:rPr>
              <w:t>≥1920*1080，20倍光学变倍，</w:t>
            </w:r>
            <w:r>
              <w:rPr>
                <w:rFonts w:hint="eastAsia" w:ascii="仿宋" w:hAnsi="仿宋" w:eastAsia="仿宋"/>
                <w:color w:val="000000"/>
                <w:sz w:val="24"/>
                <w:szCs w:val="24"/>
                <w:highlight w:val="none"/>
              </w:rPr>
              <w:t>球机预置点个数≥256，包含安装及5年通信费用。</w:t>
            </w:r>
          </w:p>
        </w:tc>
        <w:tc>
          <w:tcPr>
            <w:tcW w:w="750" w:type="dxa"/>
            <w:shd w:val="clear" w:color="000000" w:fill="FFFFFF"/>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台</w:t>
            </w:r>
          </w:p>
        </w:tc>
        <w:tc>
          <w:tcPr>
            <w:tcW w:w="700" w:type="dxa"/>
            <w:shd w:val="clear" w:color="000000" w:fill="FFFFFF"/>
            <w:vAlign w:val="center"/>
          </w:tcPr>
          <w:p>
            <w:pPr>
              <w:widowControl/>
              <w:jc w:val="center"/>
              <w:rPr>
                <w:rFonts w:ascii="仿宋" w:hAnsi="仿宋" w:eastAsia="仿宋" w:cs="Arial"/>
                <w:kern w:val="0"/>
                <w:sz w:val="24"/>
                <w:szCs w:val="24"/>
                <w:highlight w:val="none"/>
              </w:rPr>
            </w:pPr>
            <w:r>
              <w:rPr>
                <w:rFonts w:ascii="仿宋" w:hAnsi="仿宋" w:eastAsia="仿宋"/>
                <w:color w:val="000000"/>
                <w:sz w:val="24"/>
                <w:szCs w:val="24"/>
                <w:highlight w:val="none"/>
              </w:rPr>
              <w:t>10</w:t>
            </w:r>
            <w:r>
              <w:rPr>
                <w:rFonts w:hint="eastAsia" w:ascii="仿宋" w:hAnsi="仿宋" w:eastAsia="仿宋"/>
                <w:color w:val="000000"/>
                <w:sz w:val="24"/>
                <w:szCs w:val="24"/>
                <w:highlight w:val="none"/>
              </w:rPr>
              <w:t>3</w:t>
            </w:r>
          </w:p>
        </w:tc>
        <w:tc>
          <w:tcPr>
            <w:tcW w:w="1633" w:type="dxa"/>
            <w:shd w:val="clear" w:color="auto" w:fill="auto"/>
            <w:vAlign w:val="center"/>
          </w:tcPr>
          <w:p>
            <w:pPr>
              <w:jc w:val="center"/>
              <w:rPr>
                <w:rFonts w:ascii="仿宋" w:hAnsi="仿宋" w:eastAsia="仿宋" w:cs="Arial"/>
                <w:kern w:val="0"/>
                <w:sz w:val="24"/>
                <w:szCs w:val="24"/>
                <w:highlight w:val="none"/>
              </w:rPr>
            </w:pPr>
            <w:r>
              <w:rPr>
                <w:rFonts w:hint="eastAsia" w:ascii="仿宋" w:hAnsi="仿宋" w:eastAsia="仿宋"/>
                <w:color w:val="000000" w:themeColor="text1"/>
                <w:sz w:val="24"/>
                <w:szCs w:val="24"/>
                <w:highlight w:val="none"/>
                <w14:textFill>
                  <w14:solidFill>
                    <w14:schemeClr w14:val="tx1"/>
                  </w14:solidFill>
                </w14:textFill>
              </w:rPr>
              <w:t>合同签订后</w:t>
            </w:r>
            <w:r>
              <w:rPr>
                <w:rFonts w:ascii="仿宋" w:hAnsi="仿宋" w:eastAsia="仿宋"/>
                <w:color w:val="000000" w:themeColor="text1"/>
                <w:sz w:val="24"/>
                <w:szCs w:val="24"/>
                <w:highlight w:val="none"/>
                <w14:textFill>
                  <w14:solidFill>
                    <w14:schemeClr w14:val="tx1"/>
                  </w14:solidFill>
                </w14:textFill>
              </w:rPr>
              <w:t>15</w:t>
            </w:r>
            <w:r>
              <w:rPr>
                <w:rFonts w:hint="eastAsia" w:ascii="仿宋" w:hAnsi="仿宋" w:eastAsia="仿宋"/>
                <w:color w:val="000000" w:themeColor="text1"/>
                <w:sz w:val="24"/>
                <w:szCs w:val="24"/>
                <w:highlight w:val="none"/>
                <w14:textFill>
                  <w14:solidFill>
                    <w14:schemeClr w14:val="tx1"/>
                  </w14:solidFill>
                </w14:textFill>
              </w:rPr>
              <w:t>日内</w:t>
            </w:r>
          </w:p>
        </w:tc>
        <w:tc>
          <w:tcPr>
            <w:tcW w:w="534" w:type="dxa"/>
            <w:vAlign w:val="center"/>
          </w:tcPr>
          <w:p>
            <w:pPr>
              <w:jc w:val="center"/>
              <w:rPr>
                <w:rFonts w:ascii="仿宋" w:hAnsi="仿宋" w:eastAsia="仿宋" w:cs="Arial"/>
                <w:kern w:val="0"/>
                <w:sz w:val="24"/>
                <w:szCs w:val="24"/>
                <w:highlight w:val="none"/>
              </w:rPr>
            </w:pPr>
            <w:r>
              <w:rPr>
                <w:rFonts w:ascii="仿宋" w:hAnsi="仿宋" w:eastAsia="仿宋"/>
                <w:color w:val="000000" w:themeColor="text1"/>
                <w:sz w:val="24"/>
                <w:szCs w:val="24"/>
                <w:highlight w:val="none"/>
                <w14:textFill>
                  <w14:solidFill>
                    <w14:schemeClr w14:val="tx1"/>
                  </w14:solidFill>
                </w14:textFill>
              </w:rPr>
              <w:t>2</w:t>
            </w:r>
            <w:r>
              <w:rPr>
                <w:rFonts w:hint="eastAsia" w:ascii="仿宋" w:hAnsi="仿宋" w:eastAsia="仿宋"/>
                <w:color w:val="000000" w:themeColor="text1"/>
                <w:sz w:val="24"/>
                <w:szCs w:val="24"/>
                <w:highlight w:val="none"/>
                <w14:textFill>
                  <w14:solidFill>
                    <w14:schemeClr w14:val="tx1"/>
                  </w14:solidFill>
                </w14:textFill>
              </w:rPr>
              <w:t>年</w:t>
            </w:r>
          </w:p>
        </w:tc>
        <w:tc>
          <w:tcPr>
            <w:tcW w:w="1150" w:type="dxa"/>
            <w:shd w:val="clear" w:color="auto" w:fill="auto"/>
            <w:vAlign w:val="center"/>
          </w:tcPr>
          <w:p>
            <w:pPr>
              <w:widowControl/>
              <w:jc w:val="center"/>
              <w:rPr>
                <w:rFonts w:hint="eastAsia" w:ascii="仿宋" w:hAnsi="仿宋" w:eastAsia="仿宋" w:cs="Arial"/>
                <w:kern w:val="0"/>
                <w:sz w:val="24"/>
                <w:szCs w:val="24"/>
                <w:highlight w:val="none"/>
                <w:lang w:eastAsia="zh-CN"/>
              </w:rPr>
            </w:pPr>
            <w:r>
              <w:rPr>
                <w:rFonts w:hint="eastAsia" w:ascii="仿宋" w:hAnsi="仿宋" w:eastAsia="仿宋" w:cs="Arial"/>
                <w:kern w:val="0"/>
                <w:sz w:val="24"/>
                <w:szCs w:val="24"/>
                <w:highlight w:val="none"/>
              </w:rPr>
              <w:t>买方指定仓库地面交货</w:t>
            </w:r>
            <w:r>
              <w:rPr>
                <w:rFonts w:hint="eastAsia" w:ascii="仿宋" w:hAnsi="仿宋" w:eastAsia="仿宋" w:cs="Arial"/>
                <w:kern w:val="0"/>
                <w:sz w:val="24"/>
                <w:szCs w:val="24"/>
                <w:highlight w:val="none"/>
                <w:lang w:eastAsia="zh-CN"/>
              </w:rPr>
              <w:t>。</w:t>
            </w:r>
          </w:p>
        </w:tc>
        <w:tc>
          <w:tcPr>
            <w:tcW w:w="1933" w:type="dxa"/>
            <w:shd w:val="clear" w:color="auto" w:fill="auto"/>
            <w:vAlign w:val="center"/>
          </w:tcPr>
          <w:p>
            <w:pPr>
              <w:widowControl/>
              <w:jc w:val="center"/>
              <w:rPr>
                <w:rFonts w:hint="eastAsia" w:ascii="仿宋" w:hAnsi="仿宋" w:eastAsia="仿宋" w:cs="Arial"/>
                <w:kern w:val="0"/>
                <w:sz w:val="24"/>
                <w:szCs w:val="24"/>
                <w:highlight w:val="none"/>
                <w:lang w:eastAsia="zh-CN"/>
              </w:rPr>
            </w:pPr>
            <w:r>
              <w:rPr>
                <w:rFonts w:hint="eastAsia" w:ascii="仿宋" w:hAnsi="仿宋" w:eastAsia="仿宋" w:cs="Arial"/>
                <w:kern w:val="0"/>
                <w:sz w:val="24"/>
                <w:szCs w:val="24"/>
                <w:highlight w:val="none"/>
                <w:lang w:val="en-US" w:eastAsia="zh-CN"/>
              </w:rPr>
              <w:t>1.</w:t>
            </w:r>
            <w:r>
              <w:rPr>
                <w:rFonts w:hint="eastAsia" w:ascii="仿宋" w:hAnsi="仿宋" w:eastAsia="仿宋" w:cs="Arial"/>
                <w:kern w:val="0"/>
                <w:sz w:val="24"/>
                <w:szCs w:val="24"/>
                <w:highlight w:val="none"/>
              </w:rPr>
              <w:t>厂商要求</w:t>
            </w:r>
            <w:r>
              <w:rPr>
                <w:rFonts w:hint="eastAsia" w:ascii="仿宋" w:hAnsi="仿宋" w:eastAsia="仿宋" w:cs="Arial"/>
                <w:kern w:val="0"/>
                <w:sz w:val="24"/>
                <w:szCs w:val="24"/>
                <w:highlight w:val="none"/>
                <w:lang w:eastAsia="zh-CN"/>
              </w:rPr>
              <w:t>：</w:t>
            </w:r>
            <w:r>
              <w:rPr>
                <w:rFonts w:hint="eastAsia" w:ascii="仿宋" w:hAnsi="仿宋" w:eastAsia="仿宋" w:cs="Arial"/>
                <w:kern w:val="0"/>
                <w:sz w:val="24"/>
                <w:szCs w:val="24"/>
                <w:highlight w:val="none"/>
              </w:rPr>
              <w:t>制造商</w:t>
            </w:r>
            <w:r>
              <w:rPr>
                <w:rFonts w:hint="eastAsia" w:ascii="仿宋" w:hAnsi="仿宋" w:eastAsia="仿宋" w:cs="Arial"/>
                <w:kern w:val="0"/>
                <w:sz w:val="24"/>
                <w:szCs w:val="24"/>
                <w:highlight w:val="none"/>
                <w:lang w:eastAsia="zh-CN"/>
              </w:rPr>
              <w:t>；</w:t>
            </w:r>
          </w:p>
          <w:p>
            <w:pPr>
              <w:widowControl/>
              <w:jc w:val="center"/>
              <w:rPr>
                <w:rFonts w:hint="eastAsia" w:ascii="仿宋" w:hAnsi="仿宋" w:eastAsia="仿宋" w:cs="Arial"/>
                <w:kern w:val="0"/>
                <w:sz w:val="24"/>
                <w:szCs w:val="24"/>
                <w:highlight w:val="none"/>
                <w:lang w:eastAsia="zh-CN"/>
              </w:rPr>
            </w:pPr>
            <w:r>
              <w:rPr>
                <w:rFonts w:hint="eastAsia" w:ascii="仿宋" w:hAnsi="仿宋" w:eastAsia="仿宋" w:cs="Arial"/>
                <w:kern w:val="0"/>
                <w:sz w:val="24"/>
                <w:szCs w:val="24"/>
                <w:highlight w:val="none"/>
                <w:lang w:val="en-US" w:eastAsia="zh-CN"/>
              </w:rPr>
              <w:t>2.</w:t>
            </w:r>
            <w:r>
              <w:rPr>
                <w:rFonts w:hint="eastAsia" w:ascii="仿宋" w:hAnsi="仿宋" w:eastAsia="仿宋" w:cs="Arial"/>
                <w:kern w:val="0"/>
                <w:sz w:val="24"/>
                <w:szCs w:val="24"/>
                <w:highlight w:val="none"/>
              </w:rPr>
              <w:t>认证证书</w:t>
            </w:r>
            <w:r>
              <w:rPr>
                <w:rFonts w:hint="eastAsia" w:ascii="仿宋" w:hAnsi="仿宋" w:eastAsia="仿宋" w:cs="Arial"/>
                <w:kern w:val="0"/>
                <w:sz w:val="24"/>
                <w:szCs w:val="24"/>
                <w:highlight w:val="none"/>
                <w:lang w:eastAsia="zh-CN"/>
              </w:rPr>
              <w:t>：</w:t>
            </w:r>
            <w:r>
              <w:rPr>
                <w:rFonts w:hint="eastAsia" w:ascii="仿宋" w:hAnsi="仿宋" w:eastAsia="仿宋" w:cs="Arial"/>
                <w:kern w:val="0"/>
                <w:sz w:val="24"/>
                <w:szCs w:val="24"/>
                <w:highlight w:val="none"/>
              </w:rPr>
              <w:t>提供有效的ISO9000系列质量管理体系认证证书</w:t>
            </w:r>
            <w:r>
              <w:rPr>
                <w:rFonts w:hint="eastAsia" w:ascii="仿宋" w:hAnsi="仿宋" w:eastAsia="仿宋" w:cs="Arial"/>
                <w:kern w:val="0"/>
                <w:sz w:val="24"/>
                <w:szCs w:val="24"/>
                <w:highlight w:val="none"/>
                <w:lang w:eastAsia="zh-CN"/>
              </w:rPr>
              <w:t>；</w:t>
            </w:r>
          </w:p>
          <w:p>
            <w:pPr>
              <w:widowControl/>
              <w:jc w:val="center"/>
              <w:rPr>
                <w:rFonts w:hint="eastAsia" w:ascii="仿宋" w:hAnsi="仿宋" w:eastAsia="仿宋" w:cs="Arial"/>
                <w:kern w:val="0"/>
                <w:sz w:val="24"/>
                <w:szCs w:val="24"/>
                <w:highlight w:val="none"/>
                <w:lang w:val="en-US" w:eastAsia="zh-CN"/>
              </w:rPr>
            </w:pPr>
            <w:r>
              <w:rPr>
                <w:rFonts w:hint="eastAsia" w:ascii="仿宋" w:hAnsi="仿宋" w:eastAsia="仿宋" w:cs="Arial"/>
                <w:kern w:val="0"/>
                <w:sz w:val="24"/>
                <w:szCs w:val="24"/>
                <w:highlight w:val="none"/>
                <w:lang w:val="en-US" w:eastAsia="zh-CN"/>
              </w:rPr>
              <w:t>3.</w:t>
            </w:r>
            <w:r>
              <w:rPr>
                <w:rFonts w:hint="eastAsia" w:ascii="仿宋" w:hAnsi="仿宋" w:eastAsia="仿宋" w:cs="Arial"/>
                <w:kern w:val="0"/>
                <w:sz w:val="24"/>
                <w:szCs w:val="24"/>
                <w:highlight w:val="none"/>
              </w:rPr>
              <w:t>产品型式试验报告或检测报告或鉴定报告</w:t>
            </w:r>
            <w:r>
              <w:rPr>
                <w:rFonts w:hint="eastAsia" w:ascii="仿宋" w:hAnsi="仿宋" w:eastAsia="仿宋" w:cs="Arial"/>
                <w:kern w:val="0"/>
                <w:sz w:val="24"/>
                <w:szCs w:val="24"/>
                <w:highlight w:val="none"/>
                <w:lang w:eastAsia="zh-CN"/>
              </w:rPr>
              <w:t>：</w:t>
            </w:r>
            <w:r>
              <w:rPr>
                <w:rFonts w:hint="eastAsia" w:ascii="仿宋" w:hAnsi="仿宋" w:eastAsia="仿宋" w:cs="Arial"/>
                <w:kern w:val="0"/>
                <w:sz w:val="24"/>
                <w:szCs w:val="24"/>
                <w:highlight w:val="none"/>
              </w:rPr>
              <w:t>提供第三方权威检测机构的有效的检测报告或型式试验报告。</w:t>
            </w:r>
          </w:p>
        </w:tc>
        <w:tc>
          <w:tcPr>
            <w:tcW w:w="1713" w:type="dxa"/>
            <w:shd w:val="clear" w:color="auto" w:fill="auto"/>
            <w:vAlign w:val="center"/>
          </w:tcPr>
          <w:p>
            <w:pPr>
              <w:widowControl/>
              <w:jc w:val="center"/>
              <w:rPr>
                <w:rFonts w:hint="eastAsia" w:ascii="仿宋" w:hAnsi="仿宋" w:eastAsia="仿宋" w:cs="Arial"/>
                <w:kern w:val="0"/>
                <w:sz w:val="24"/>
                <w:szCs w:val="24"/>
                <w:highlight w:val="none"/>
                <w:lang w:eastAsia="zh-CN"/>
              </w:rPr>
            </w:pPr>
            <w:r>
              <w:rPr>
                <w:rFonts w:hint="eastAsia" w:ascii="仿宋" w:hAnsi="仿宋" w:eastAsia="仿宋" w:cs="Arial"/>
                <w:kern w:val="0"/>
                <w:sz w:val="24"/>
                <w:szCs w:val="24"/>
                <w:highlight w:val="none"/>
              </w:rPr>
              <w:t>业绩要求</w:t>
            </w:r>
            <w:r>
              <w:rPr>
                <w:rFonts w:hint="eastAsia" w:ascii="仿宋" w:hAnsi="仿宋" w:eastAsia="仿宋" w:cs="Arial"/>
                <w:kern w:val="0"/>
                <w:sz w:val="24"/>
                <w:szCs w:val="24"/>
                <w:highlight w:val="none"/>
                <w:lang w:eastAsia="zh-CN"/>
              </w:rPr>
              <w:t>：</w:t>
            </w:r>
            <w:r>
              <w:rPr>
                <w:rFonts w:hint="eastAsia" w:ascii="仿宋" w:hAnsi="仿宋" w:eastAsia="仿宋" w:cs="Arial"/>
                <w:kern w:val="0"/>
                <w:sz w:val="24"/>
                <w:szCs w:val="24"/>
                <w:highlight w:val="none"/>
              </w:rPr>
              <w:t>2020年1月1日起至招标公告发布之日内线路在线监测类产品累计销售业绩不少于20套。注：业绩必须提供对应的合同复印件。</w:t>
            </w:r>
          </w:p>
        </w:tc>
        <w:tc>
          <w:tcPr>
            <w:tcW w:w="100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2.5</w:t>
            </w:r>
          </w:p>
        </w:tc>
      </w:tr>
    </w:tbl>
    <w:p>
      <w:pPr>
        <w:pStyle w:val="18"/>
        <w:rPr>
          <w:rFonts w:hint="eastAsia"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bookmarkEnd w:id="0"/>
    <w:p>
      <w:pPr>
        <w:rPr>
          <w:rFonts w:ascii="仿宋" w:hAnsi="仿宋" w:eastAsia="仿宋"/>
          <w:sz w:val="22"/>
          <w:szCs w:val="22"/>
          <w:highlight w:val="none"/>
        </w:rPr>
      </w:pPr>
      <w:r>
        <w:rPr>
          <w:rFonts w:hint="eastAsia" w:ascii="仿宋" w:hAnsi="仿宋" w:eastAsia="仿宋"/>
          <w:sz w:val="22"/>
          <w:szCs w:val="22"/>
          <w:highlight w:val="none"/>
        </w:rPr>
        <w:t>备注：</w:t>
      </w:r>
    </w:p>
    <w:p>
      <w:pPr>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sz w:val="22"/>
          <w:szCs w:val="22"/>
          <w:highlight w:val="none"/>
        </w:rPr>
      </w:pPr>
      <w:r>
        <w:rPr>
          <w:rFonts w:hint="eastAsia" w:ascii="仿宋" w:hAnsi="仿宋" w:eastAsia="仿宋"/>
          <w:sz w:val="22"/>
          <w:szCs w:val="22"/>
          <w:highlight w:val="none"/>
        </w:rPr>
        <w:t>2.投标文件中提供的证明材料复印件应复印清晰、可辨认且不得遮盖、涂抹，否则视为无效。</w:t>
      </w:r>
    </w:p>
    <w:p>
      <w:pPr>
        <w:widowControl/>
        <w:jc w:val="left"/>
        <w:rPr>
          <w:rFonts w:ascii="仿宋" w:hAnsi="仿宋" w:eastAsia="仿宋"/>
          <w:b/>
          <w:sz w:val="22"/>
          <w:szCs w:val="22"/>
          <w:highlight w:val="none"/>
        </w:rPr>
        <w:sectPr>
          <w:pgSz w:w="16838" w:h="11906" w:orient="landscape"/>
          <w:pgMar w:top="1800" w:right="1440" w:bottom="1800" w:left="1440" w:header="851" w:footer="992" w:gutter="0"/>
          <w:cols w:space="425" w:num="1"/>
          <w:docGrid w:type="lines" w:linePitch="312" w:charSpace="0"/>
        </w:sectPr>
      </w:pPr>
    </w:p>
    <w:p>
      <w:pPr>
        <w:jc w:val="left"/>
        <w:rPr>
          <w:rFonts w:hint="eastAsia"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分标二：地质灾害监测组件采购项目</w:t>
      </w:r>
    </w:p>
    <w:tbl>
      <w:tblPr>
        <w:tblStyle w:val="9"/>
        <w:tblW w:w="12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758"/>
        <w:gridCol w:w="2567"/>
        <w:gridCol w:w="666"/>
        <w:gridCol w:w="867"/>
        <w:gridCol w:w="667"/>
        <w:gridCol w:w="800"/>
        <w:gridCol w:w="733"/>
        <w:gridCol w:w="2000"/>
        <w:gridCol w:w="1687"/>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20" w:type="dxa"/>
            <w:vAlign w:val="center"/>
          </w:tcPr>
          <w:p>
            <w:pPr>
              <w:widowControl/>
              <w:jc w:val="left"/>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序号</w:t>
            </w:r>
          </w:p>
        </w:tc>
        <w:tc>
          <w:tcPr>
            <w:tcW w:w="758" w:type="dxa"/>
            <w:shd w:val="clear" w:color="auto" w:fill="auto"/>
            <w:vAlign w:val="center"/>
          </w:tcPr>
          <w:p>
            <w:pPr>
              <w:widowControl/>
              <w:jc w:val="left"/>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物资名称</w:t>
            </w:r>
          </w:p>
        </w:tc>
        <w:tc>
          <w:tcPr>
            <w:tcW w:w="2567" w:type="dxa"/>
            <w:shd w:val="clear" w:color="auto" w:fill="auto"/>
            <w:vAlign w:val="center"/>
          </w:tcPr>
          <w:p>
            <w:pPr>
              <w:widowControl/>
              <w:jc w:val="left"/>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主要技术要求</w:t>
            </w:r>
          </w:p>
        </w:tc>
        <w:tc>
          <w:tcPr>
            <w:tcW w:w="666" w:type="dxa"/>
            <w:shd w:val="clear" w:color="auto" w:fill="auto"/>
            <w:vAlign w:val="center"/>
          </w:tcPr>
          <w:p>
            <w:pPr>
              <w:widowControl/>
              <w:jc w:val="left"/>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单位</w:t>
            </w:r>
          </w:p>
        </w:tc>
        <w:tc>
          <w:tcPr>
            <w:tcW w:w="867" w:type="dxa"/>
            <w:shd w:val="clear" w:color="auto" w:fill="auto"/>
            <w:vAlign w:val="center"/>
          </w:tcPr>
          <w:p>
            <w:pPr>
              <w:widowControl/>
              <w:jc w:val="left"/>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数量</w:t>
            </w:r>
          </w:p>
        </w:tc>
        <w:tc>
          <w:tcPr>
            <w:tcW w:w="667" w:type="dxa"/>
            <w:shd w:val="clear" w:color="auto" w:fill="auto"/>
            <w:vAlign w:val="center"/>
          </w:tcPr>
          <w:p>
            <w:pPr>
              <w:widowControl/>
              <w:jc w:val="left"/>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交货日期</w:t>
            </w:r>
          </w:p>
        </w:tc>
        <w:tc>
          <w:tcPr>
            <w:tcW w:w="800" w:type="dxa"/>
            <w:vAlign w:val="center"/>
          </w:tcPr>
          <w:p>
            <w:pPr>
              <w:widowControl/>
              <w:jc w:val="left"/>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质保期</w:t>
            </w:r>
          </w:p>
        </w:tc>
        <w:tc>
          <w:tcPr>
            <w:tcW w:w="733" w:type="dxa"/>
            <w:shd w:val="clear" w:color="auto" w:fill="auto"/>
            <w:vAlign w:val="center"/>
          </w:tcPr>
          <w:p>
            <w:pPr>
              <w:widowControl/>
              <w:jc w:val="left"/>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交货地点</w:t>
            </w:r>
          </w:p>
        </w:tc>
        <w:tc>
          <w:tcPr>
            <w:tcW w:w="2000" w:type="dxa"/>
            <w:shd w:val="clear" w:color="auto" w:fill="auto"/>
            <w:vAlign w:val="center"/>
          </w:tcPr>
          <w:p>
            <w:pPr>
              <w:widowControl/>
              <w:shd w:val="clear"/>
              <w:jc w:val="center"/>
              <w:rPr>
                <w:rFonts w:hint="eastAsia" w:ascii="仿宋" w:hAnsi="仿宋" w:eastAsia="仿宋" w:cs="Arial"/>
                <w:b/>
                <w:bCs/>
                <w:kern w:val="0"/>
                <w:sz w:val="22"/>
                <w:szCs w:val="22"/>
                <w:highlight w:val="none"/>
              </w:rPr>
            </w:pPr>
            <w:r>
              <w:rPr>
                <w:rFonts w:hint="eastAsia" w:ascii="仿宋" w:hAnsi="仿宋" w:eastAsia="仿宋" w:cs="仿宋"/>
                <w:b/>
                <w:bCs/>
                <w:color w:val="auto"/>
                <w:kern w:val="0"/>
                <w:sz w:val="22"/>
                <w:szCs w:val="22"/>
                <w:highlight w:val="none"/>
                <w:lang w:val="en-US" w:eastAsia="zh-CN"/>
              </w:rPr>
              <w:t>专用资质要求</w:t>
            </w:r>
          </w:p>
        </w:tc>
        <w:tc>
          <w:tcPr>
            <w:tcW w:w="1687" w:type="dxa"/>
            <w:shd w:val="clear" w:color="auto" w:fill="auto"/>
            <w:vAlign w:val="center"/>
          </w:tcPr>
          <w:p>
            <w:pPr>
              <w:widowControl/>
              <w:shd w:val="clear"/>
              <w:jc w:val="center"/>
              <w:rPr>
                <w:rFonts w:hint="eastAsia" w:ascii="仿宋" w:hAnsi="仿宋" w:eastAsia="仿宋" w:cs="Arial"/>
                <w:b/>
                <w:bCs/>
                <w:kern w:val="0"/>
                <w:sz w:val="22"/>
                <w:szCs w:val="22"/>
                <w:highlight w:val="none"/>
              </w:rPr>
            </w:pPr>
            <w:r>
              <w:rPr>
                <w:rFonts w:hint="eastAsia" w:ascii="仿宋" w:hAnsi="仿宋" w:eastAsia="仿宋" w:cs="仿宋"/>
                <w:b/>
                <w:bCs/>
                <w:color w:val="auto"/>
                <w:kern w:val="0"/>
                <w:sz w:val="22"/>
                <w:szCs w:val="22"/>
                <w:highlight w:val="none"/>
                <w:lang w:val="en-US" w:eastAsia="zh-CN"/>
              </w:rPr>
              <w:t>专用业绩要求</w:t>
            </w:r>
          </w:p>
        </w:tc>
        <w:tc>
          <w:tcPr>
            <w:tcW w:w="1004" w:type="dxa"/>
            <w:shd w:val="clear" w:color="auto" w:fill="auto"/>
            <w:vAlign w:val="center"/>
          </w:tcPr>
          <w:p>
            <w:pPr>
              <w:widowControl/>
              <w:shd w:val="clear"/>
              <w:jc w:val="center"/>
              <w:rPr>
                <w:rFonts w:hint="eastAsia" w:ascii="仿宋" w:hAnsi="仿宋" w:eastAsia="仿宋" w:cs="Arial"/>
                <w:b/>
                <w:bCs/>
                <w:kern w:val="0"/>
                <w:sz w:val="22"/>
                <w:szCs w:val="22"/>
                <w:highlight w:val="none"/>
              </w:rPr>
            </w:pPr>
            <w:r>
              <w:rPr>
                <w:rFonts w:hint="eastAsia" w:ascii="仿宋" w:hAnsi="仿宋" w:eastAsia="仿宋" w:cs="仿宋"/>
                <w:b/>
                <w:bCs/>
                <w:color w:val="auto"/>
                <w:kern w:val="0"/>
                <w:sz w:val="22"/>
                <w:szCs w:val="22"/>
                <w:highlight w:val="none"/>
                <w:lang w:val="en-US"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20" w:type="dxa"/>
            <w:vAlign w:val="center"/>
          </w:tcPr>
          <w:p>
            <w:pPr>
              <w:widowControl/>
              <w:jc w:val="left"/>
              <w:rPr>
                <w:rFonts w:ascii="仿宋" w:hAnsi="仿宋" w:eastAsia="仿宋" w:cs="Arial"/>
                <w:kern w:val="0"/>
                <w:sz w:val="24"/>
                <w:szCs w:val="24"/>
                <w:highlight w:val="none"/>
              </w:rPr>
            </w:pPr>
            <w:r>
              <w:rPr>
                <w:rFonts w:hint="eastAsia" w:ascii="仿宋" w:hAnsi="仿宋" w:eastAsia="仿宋"/>
                <w:sz w:val="24"/>
                <w:szCs w:val="24"/>
                <w:highlight w:val="none"/>
              </w:rPr>
              <w:t>1</w:t>
            </w:r>
          </w:p>
        </w:tc>
        <w:tc>
          <w:tcPr>
            <w:tcW w:w="758"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kern w:val="0"/>
                <w:sz w:val="22"/>
                <w:szCs w:val="22"/>
                <w:highlight w:val="none"/>
              </w:rPr>
              <w:t>地质灾害监测组件1</w:t>
            </w:r>
          </w:p>
        </w:tc>
        <w:tc>
          <w:tcPr>
            <w:tcW w:w="2567" w:type="dxa"/>
            <w:shd w:val="clear" w:color="auto" w:fill="auto"/>
            <w:vAlign w:val="center"/>
          </w:tcPr>
          <w:p>
            <w:pPr>
              <w:widowControl/>
              <w:jc w:val="left"/>
              <w:rPr>
                <w:rFonts w:ascii="仿宋" w:hAnsi="仿宋" w:eastAsia="仿宋"/>
                <w:sz w:val="22"/>
                <w:szCs w:val="22"/>
                <w:highlight w:val="none"/>
              </w:rPr>
            </w:pPr>
            <w:r>
              <w:rPr>
                <w:rFonts w:hint="eastAsia" w:ascii="仿宋" w:hAnsi="仿宋" w:eastAsia="仿宋" w:cs="宋体"/>
                <w:sz w:val="22"/>
                <w:szCs w:val="22"/>
                <w:highlight w:val="none"/>
              </w:rPr>
              <w:t>支持北斗、GPS、GLONASS、QZSS定位，支持厘米级高精度定位；倾斜监测：内置倾斜监测传感器；外部接口：支持RS-232通信设备</w:t>
            </w:r>
          </w:p>
        </w:tc>
        <w:tc>
          <w:tcPr>
            <w:tcW w:w="666" w:type="dxa"/>
            <w:shd w:val="clear" w:color="000000" w:fill="FFFFFF"/>
            <w:vAlign w:val="center"/>
          </w:tcPr>
          <w:p>
            <w:pPr>
              <w:widowControl/>
              <w:ind w:firstLine="240" w:firstLineChars="100"/>
              <w:jc w:val="both"/>
              <w:rPr>
                <w:rFonts w:ascii="仿宋" w:hAnsi="仿宋" w:eastAsia="仿宋" w:cs="Arial"/>
                <w:kern w:val="0"/>
                <w:sz w:val="24"/>
                <w:szCs w:val="24"/>
                <w:highlight w:val="none"/>
              </w:rPr>
            </w:pPr>
            <w:r>
              <w:rPr>
                <w:rFonts w:hint="eastAsia" w:ascii="仿宋" w:hAnsi="仿宋" w:eastAsia="仿宋" w:cs="Arial"/>
                <w:kern w:val="0"/>
                <w:sz w:val="24"/>
                <w:szCs w:val="24"/>
                <w:highlight w:val="none"/>
              </w:rPr>
              <w:t>套</w:t>
            </w:r>
          </w:p>
        </w:tc>
        <w:tc>
          <w:tcPr>
            <w:tcW w:w="867" w:type="dxa"/>
            <w:shd w:val="clear" w:color="000000" w:fill="FFFFFF"/>
            <w:vAlign w:val="center"/>
          </w:tcPr>
          <w:p>
            <w:pPr>
              <w:widowControl/>
              <w:ind w:firstLine="240" w:firstLineChars="100"/>
              <w:jc w:val="left"/>
              <w:rPr>
                <w:rFonts w:ascii="仿宋" w:hAnsi="仿宋" w:eastAsia="仿宋" w:cs="Arial"/>
                <w:kern w:val="0"/>
                <w:sz w:val="24"/>
                <w:szCs w:val="24"/>
                <w:highlight w:val="none"/>
              </w:rPr>
            </w:pPr>
            <w:r>
              <w:rPr>
                <w:rFonts w:ascii="仿宋" w:hAnsi="仿宋" w:eastAsia="仿宋" w:cs="Arial"/>
                <w:kern w:val="0"/>
                <w:sz w:val="24"/>
                <w:szCs w:val="24"/>
                <w:highlight w:val="none"/>
              </w:rPr>
              <w:t>50</w:t>
            </w:r>
          </w:p>
        </w:tc>
        <w:tc>
          <w:tcPr>
            <w:tcW w:w="667" w:type="dxa"/>
            <w:vMerge w:val="restart"/>
            <w:shd w:val="clear" w:color="auto" w:fill="auto"/>
            <w:vAlign w:val="center"/>
          </w:tcPr>
          <w:p>
            <w:pPr>
              <w:jc w:val="left"/>
              <w:rPr>
                <w:rFonts w:ascii="仿宋" w:hAnsi="仿宋" w:eastAsia="仿宋"/>
                <w:sz w:val="24"/>
                <w:szCs w:val="24"/>
                <w:highlight w:val="none"/>
              </w:rPr>
            </w:pPr>
            <w:r>
              <w:rPr>
                <w:rFonts w:hint="eastAsia" w:ascii="仿宋" w:hAnsi="仿宋" w:eastAsia="仿宋"/>
                <w:sz w:val="24"/>
                <w:szCs w:val="24"/>
                <w:highlight w:val="none"/>
              </w:rPr>
              <w:t>合同签订后</w:t>
            </w:r>
            <w:r>
              <w:rPr>
                <w:rFonts w:ascii="仿宋" w:hAnsi="仿宋" w:eastAsia="仿宋"/>
                <w:sz w:val="24"/>
                <w:szCs w:val="24"/>
                <w:highlight w:val="none"/>
              </w:rPr>
              <w:t>20日内</w:t>
            </w:r>
          </w:p>
          <w:p>
            <w:pPr>
              <w:jc w:val="left"/>
              <w:rPr>
                <w:highlight w:val="none"/>
              </w:rPr>
            </w:pPr>
          </w:p>
          <w:p>
            <w:pPr>
              <w:pStyle w:val="2"/>
              <w:rPr>
                <w:highlight w:val="none"/>
              </w:rPr>
            </w:pPr>
          </w:p>
        </w:tc>
        <w:tc>
          <w:tcPr>
            <w:tcW w:w="800" w:type="dxa"/>
            <w:vMerge w:val="restart"/>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3年</w:t>
            </w:r>
          </w:p>
          <w:p>
            <w:pPr>
              <w:jc w:val="center"/>
              <w:rPr>
                <w:highlight w:val="none"/>
              </w:rPr>
            </w:pPr>
          </w:p>
          <w:p>
            <w:pPr>
              <w:pStyle w:val="2"/>
              <w:jc w:val="center"/>
              <w:rPr>
                <w:highlight w:val="none"/>
              </w:rPr>
            </w:pPr>
          </w:p>
        </w:tc>
        <w:tc>
          <w:tcPr>
            <w:tcW w:w="733" w:type="dxa"/>
            <w:vMerge w:val="restart"/>
            <w:shd w:val="clear" w:color="auto" w:fill="auto"/>
            <w:vAlign w:val="center"/>
          </w:tcPr>
          <w:p>
            <w:pPr>
              <w:widowControl/>
              <w:jc w:val="left"/>
              <w:rPr>
                <w:rFonts w:ascii="仿宋" w:hAnsi="仿宋" w:eastAsia="仿宋" w:cs="Arial"/>
                <w:kern w:val="0"/>
                <w:sz w:val="24"/>
                <w:szCs w:val="24"/>
                <w:highlight w:val="none"/>
              </w:rPr>
            </w:pPr>
            <w:r>
              <w:rPr>
                <w:rFonts w:hint="eastAsia" w:ascii="仿宋" w:hAnsi="仿宋" w:eastAsia="仿宋" w:cs="Arial"/>
                <w:kern w:val="0"/>
                <w:sz w:val="24"/>
                <w:szCs w:val="24"/>
                <w:highlight w:val="none"/>
              </w:rPr>
              <w:t>买方指定仓库地面交货</w:t>
            </w:r>
          </w:p>
          <w:p>
            <w:pPr>
              <w:widowControl/>
              <w:jc w:val="left"/>
              <w:rPr>
                <w:highlight w:val="none"/>
              </w:rPr>
            </w:pPr>
          </w:p>
          <w:p>
            <w:pPr>
              <w:pStyle w:val="2"/>
              <w:rPr>
                <w:highlight w:val="none"/>
              </w:rPr>
            </w:pPr>
          </w:p>
        </w:tc>
        <w:tc>
          <w:tcPr>
            <w:tcW w:w="2000" w:type="dxa"/>
            <w:vMerge w:val="restart"/>
            <w:shd w:val="clear" w:color="auto" w:fill="auto"/>
            <w:vAlign w:val="center"/>
          </w:tcPr>
          <w:p>
            <w:pPr>
              <w:numPr>
                <w:ilvl w:val="0"/>
                <w:numId w:val="1"/>
              </w:numPr>
              <w:jc w:val="left"/>
              <w:rPr>
                <w:rFonts w:hint="eastAsia" w:ascii="仿宋" w:hAnsi="仿宋" w:eastAsia="仿宋"/>
                <w:sz w:val="24"/>
                <w:szCs w:val="24"/>
                <w:highlight w:val="none"/>
                <w:lang w:eastAsia="zh-CN"/>
              </w:rPr>
            </w:pPr>
            <w:r>
              <w:rPr>
                <w:rFonts w:hint="eastAsia" w:ascii="仿宋" w:hAnsi="仿宋" w:eastAsia="仿宋"/>
                <w:sz w:val="24"/>
                <w:szCs w:val="24"/>
                <w:highlight w:val="none"/>
              </w:rPr>
              <w:t>厂商要求</w:t>
            </w:r>
            <w:r>
              <w:rPr>
                <w:rFonts w:hint="eastAsia" w:ascii="仿宋" w:hAnsi="仿宋" w:eastAsia="仿宋"/>
                <w:sz w:val="24"/>
                <w:szCs w:val="24"/>
                <w:highlight w:val="none"/>
                <w:lang w:eastAsia="zh-CN"/>
              </w:rPr>
              <w:t>：</w:t>
            </w:r>
            <w:r>
              <w:rPr>
                <w:rFonts w:hint="eastAsia" w:ascii="仿宋" w:hAnsi="仿宋" w:eastAsia="仿宋"/>
                <w:sz w:val="24"/>
                <w:szCs w:val="24"/>
                <w:highlight w:val="none"/>
              </w:rPr>
              <w:t>制造商</w:t>
            </w:r>
            <w:r>
              <w:rPr>
                <w:rFonts w:hint="eastAsia" w:ascii="仿宋" w:hAnsi="仿宋" w:eastAsia="仿宋"/>
                <w:sz w:val="24"/>
                <w:szCs w:val="24"/>
                <w:highlight w:val="none"/>
                <w:lang w:eastAsia="zh-CN"/>
              </w:rPr>
              <w:t>；</w:t>
            </w:r>
          </w:p>
          <w:p>
            <w:pPr>
              <w:numPr>
                <w:ilvl w:val="0"/>
                <w:numId w:val="1"/>
              </w:numPr>
              <w:ind w:left="0" w:leftChars="0" w:firstLine="0" w:firstLineChars="0"/>
              <w:jc w:val="left"/>
              <w:rPr>
                <w:rFonts w:hint="eastAsia" w:ascii="仿宋" w:hAnsi="仿宋" w:eastAsia="仿宋"/>
                <w:sz w:val="24"/>
                <w:szCs w:val="24"/>
                <w:highlight w:val="none"/>
                <w:lang w:eastAsia="zh-CN"/>
              </w:rPr>
            </w:pPr>
            <w:r>
              <w:rPr>
                <w:rFonts w:hint="eastAsia" w:ascii="仿宋" w:hAnsi="仿宋" w:eastAsia="仿宋"/>
                <w:sz w:val="24"/>
                <w:szCs w:val="24"/>
                <w:highlight w:val="none"/>
              </w:rPr>
              <w:t>认证证书</w:t>
            </w:r>
            <w:r>
              <w:rPr>
                <w:rFonts w:hint="eastAsia" w:ascii="仿宋" w:hAnsi="仿宋" w:eastAsia="仿宋"/>
                <w:sz w:val="24"/>
                <w:szCs w:val="24"/>
                <w:highlight w:val="none"/>
                <w:lang w:eastAsia="zh-CN"/>
              </w:rPr>
              <w:t>：</w:t>
            </w:r>
            <w:r>
              <w:rPr>
                <w:rFonts w:hint="eastAsia" w:ascii="仿宋" w:hAnsi="仿宋" w:eastAsia="仿宋"/>
                <w:sz w:val="24"/>
                <w:szCs w:val="24"/>
                <w:highlight w:val="none"/>
              </w:rPr>
              <w:t>提供有效的ISO9000系列质量管理体系认证证书</w:t>
            </w:r>
            <w:r>
              <w:rPr>
                <w:rFonts w:hint="eastAsia" w:ascii="仿宋" w:hAnsi="仿宋" w:eastAsia="仿宋"/>
                <w:sz w:val="24"/>
                <w:szCs w:val="24"/>
                <w:highlight w:val="none"/>
                <w:lang w:eastAsia="zh-CN"/>
              </w:rPr>
              <w:t>；</w:t>
            </w:r>
          </w:p>
          <w:p>
            <w:pPr>
              <w:numPr>
                <w:ilvl w:val="0"/>
                <w:numId w:val="0"/>
              </w:numPr>
              <w:ind w:leftChars="0"/>
              <w:jc w:val="left"/>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3.</w:t>
            </w:r>
            <w:r>
              <w:rPr>
                <w:rFonts w:hint="eastAsia" w:ascii="仿宋" w:hAnsi="仿宋" w:eastAsia="仿宋"/>
                <w:sz w:val="24"/>
                <w:szCs w:val="24"/>
                <w:highlight w:val="none"/>
              </w:rPr>
              <w:t>产品型式试验报告或检测报告或鉴定报告</w:t>
            </w:r>
            <w:r>
              <w:rPr>
                <w:rFonts w:hint="eastAsia" w:ascii="仿宋" w:hAnsi="仿宋" w:eastAsia="仿宋"/>
                <w:sz w:val="24"/>
                <w:szCs w:val="24"/>
                <w:highlight w:val="none"/>
                <w:lang w:eastAsia="zh-CN"/>
              </w:rPr>
              <w:t>：</w:t>
            </w:r>
            <w:r>
              <w:rPr>
                <w:rFonts w:hint="eastAsia" w:ascii="仿宋" w:hAnsi="仿宋" w:eastAsia="仿宋"/>
                <w:sz w:val="24"/>
                <w:szCs w:val="24"/>
                <w:highlight w:val="none"/>
              </w:rPr>
              <w:t>提供主要产品第三方权威检测机构的有效的检测报告或试验报告</w:t>
            </w:r>
            <w:r>
              <w:rPr>
                <w:rFonts w:hint="eastAsia" w:ascii="仿宋" w:hAnsi="仿宋" w:eastAsia="仿宋"/>
                <w:sz w:val="24"/>
                <w:szCs w:val="24"/>
                <w:highlight w:val="none"/>
                <w:lang w:eastAsia="zh-CN"/>
              </w:rPr>
              <w:t>。</w:t>
            </w:r>
          </w:p>
        </w:tc>
        <w:tc>
          <w:tcPr>
            <w:tcW w:w="1687" w:type="dxa"/>
            <w:vMerge w:val="restart"/>
            <w:shd w:val="clear" w:color="auto" w:fill="auto"/>
            <w:vAlign w:val="center"/>
          </w:tcPr>
          <w:p>
            <w:pPr>
              <w:jc w:val="left"/>
              <w:rPr>
                <w:rFonts w:hint="eastAsia" w:ascii="仿宋" w:hAnsi="仿宋" w:eastAsia="仿宋"/>
                <w:sz w:val="24"/>
                <w:szCs w:val="24"/>
                <w:highlight w:val="none"/>
                <w:lang w:eastAsia="zh-CN"/>
              </w:rPr>
            </w:pPr>
            <w:r>
              <w:rPr>
                <w:rFonts w:hint="eastAsia" w:ascii="仿宋" w:hAnsi="仿宋" w:eastAsia="仿宋"/>
                <w:sz w:val="24"/>
                <w:szCs w:val="24"/>
                <w:highlight w:val="none"/>
              </w:rPr>
              <w:t>业绩要求</w:t>
            </w:r>
            <w:r>
              <w:rPr>
                <w:rFonts w:hint="eastAsia" w:ascii="仿宋" w:hAnsi="仿宋" w:eastAsia="仿宋"/>
                <w:sz w:val="24"/>
                <w:szCs w:val="24"/>
                <w:highlight w:val="none"/>
                <w:lang w:eastAsia="zh-CN"/>
              </w:rPr>
              <w:t>：</w:t>
            </w:r>
            <w:r>
              <w:rPr>
                <w:rFonts w:hint="eastAsia" w:ascii="仿宋" w:hAnsi="仿宋" w:eastAsia="仿宋"/>
                <w:sz w:val="24"/>
                <w:szCs w:val="24"/>
                <w:highlight w:val="none"/>
              </w:rPr>
              <w:t>2020年至招标公告发布之日内所投线路在线监测类业绩累计销售业绩不少于100万元。注：业绩必须提供对应的合同复印件。</w:t>
            </w:r>
          </w:p>
        </w:tc>
        <w:tc>
          <w:tcPr>
            <w:tcW w:w="1004" w:type="dxa"/>
            <w:vMerge w:val="restart"/>
            <w:shd w:val="clear" w:color="auto" w:fill="auto"/>
            <w:vAlign w:val="center"/>
          </w:tcPr>
          <w:p>
            <w:pPr>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20" w:type="dxa"/>
            <w:vAlign w:val="center"/>
          </w:tcPr>
          <w:p>
            <w:pPr>
              <w:widowControl/>
              <w:jc w:val="left"/>
              <w:rPr>
                <w:rFonts w:ascii="仿宋" w:hAnsi="仿宋" w:eastAsia="仿宋"/>
                <w:sz w:val="24"/>
                <w:szCs w:val="24"/>
                <w:highlight w:val="none"/>
              </w:rPr>
            </w:pPr>
            <w:r>
              <w:rPr>
                <w:rFonts w:hint="eastAsia" w:ascii="仿宋" w:hAnsi="仿宋" w:eastAsia="仿宋"/>
                <w:sz w:val="24"/>
                <w:szCs w:val="24"/>
                <w:highlight w:val="none"/>
              </w:rPr>
              <w:t>2</w:t>
            </w:r>
          </w:p>
        </w:tc>
        <w:tc>
          <w:tcPr>
            <w:tcW w:w="758" w:type="dxa"/>
            <w:shd w:val="clear" w:color="auto" w:fill="auto"/>
            <w:vAlign w:val="center"/>
          </w:tcPr>
          <w:p>
            <w:pPr>
              <w:widowControl/>
              <w:jc w:val="center"/>
              <w:rPr>
                <w:rFonts w:ascii="仿宋" w:hAnsi="仿宋" w:eastAsia="仿宋"/>
                <w:kern w:val="0"/>
                <w:sz w:val="22"/>
                <w:szCs w:val="22"/>
                <w:highlight w:val="none"/>
              </w:rPr>
            </w:pPr>
            <w:r>
              <w:rPr>
                <w:rFonts w:hint="eastAsia" w:ascii="仿宋" w:hAnsi="仿宋" w:eastAsia="仿宋"/>
                <w:kern w:val="0"/>
                <w:sz w:val="22"/>
                <w:szCs w:val="22"/>
                <w:highlight w:val="none"/>
              </w:rPr>
              <w:t>地质灾害监测组件2</w:t>
            </w:r>
          </w:p>
        </w:tc>
        <w:tc>
          <w:tcPr>
            <w:tcW w:w="2567" w:type="dxa"/>
            <w:shd w:val="clear" w:color="auto" w:fill="auto"/>
            <w:vAlign w:val="center"/>
          </w:tcPr>
          <w:p>
            <w:pPr>
              <w:widowControl/>
              <w:jc w:val="left"/>
              <w:rPr>
                <w:rFonts w:ascii="仿宋" w:hAnsi="仿宋" w:eastAsia="仿宋" w:cs="宋体"/>
                <w:sz w:val="22"/>
                <w:szCs w:val="22"/>
                <w:highlight w:val="none"/>
              </w:rPr>
            </w:pPr>
            <w:r>
              <w:rPr>
                <w:rFonts w:hint="eastAsia" w:ascii="仿宋" w:hAnsi="仿宋" w:eastAsia="仿宋" w:cs="宋体"/>
                <w:sz w:val="22"/>
                <w:szCs w:val="22"/>
                <w:highlight w:val="none"/>
              </w:rPr>
              <w:t>支持北斗、GPS、GLONASS、QZSS定位，支持厘米级高精度定位；倾斜监测：内置倾斜监测传感器；外部接口：支持RS-232通信设备；支持wifi、蓝牙、433M等无线一种或多种维护方式，支持塔下调试维护能力，支持塔下调试维护能力。</w:t>
            </w:r>
          </w:p>
        </w:tc>
        <w:tc>
          <w:tcPr>
            <w:tcW w:w="666" w:type="dxa"/>
            <w:shd w:val="clear" w:color="000000" w:fill="FFFFFF"/>
            <w:vAlign w:val="center"/>
          </w:tcPr>
          <w:p>
            <w:pPr>
              <w:widowControl/>
              <w:ind w:firstLine="240" w:firstLineChars="100"/>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套</w:t>
            </w:r>
          </w:p>
        </w:tc>
        <w:tc>
          <w:tcPr>
            <w:tcW w:w="867" w:type="dxa"/>
            <w:shd w:val="clear" w:color="000000" w:fill="FFFFFF"/>
            <w:vAlign w:val="center"/>
          </w:tcPr>
          <w:p>
            <w:pPr>
              <w:widowControl/>
              <w:ind w:firstLine="240" w:firstLineChars="100"/>
              <w:jc w:val="left"/>
              <w:rPr>
                <w:rFonts w:ascii="仿宋" w:hAnsi="仿宋" w:eastAsia="仿宋" w:cs="Arial"/>
                <w:kern w:val="0"/>
                <w:sz w:val="24"/>
                <w:szCs w:val="24"/>
                <w:highlight w:val="none"/>
              </w:rPr>
            </w:pPr>
            <w:r>
              <w:rPr>
                <w:rFonts w:ascii="仿宋" w:hAnsi="仿宋" w:eastAsia="仿宋" w:cs="Arial"/>
                <w:kern w:val="0"/>
                <w:sz w:val="24"/>
                <w:szCs w:val="24"/>
                <w:highlight w:val="none"/>
              </w:rPr>
              <w:t>54</w:t>
            </w:r>
          </w:p>
        </w:tc>
        <w:tc>
          <w:tcPr>
            <w:tcW w:w="667" w:type="dxa"/>
            <w:vMerge w:val="continue"/>
            <w:shd w:val="clear" w:color="auto" w:fill="auto"/>
            <w:vAlign w:val="center"/>
          </w:tcPr>
          <w:p>
            <w:pPr>
              <w:pStyle w:val="2"/>
              <w:rPr>
                <w:highlight w:val="none"/>
              </w:rPr>
            </w:pPr>
          </w:p>
        </w:tc>
        <w:tc>
          <w:tcPr>
            <w:tcW w:w="800" w:type="dxa"/>
            <w:vMerge w:val="continue"/>
            <w:vAlign w:val="center"/>
          </w:tcPr>
          <w:p>
            <w:pPr>
              <w:pStyle w:val="2"/>
              <w:rPr>
                <w:highlight w:val="none"/>
              </w:rPr>
            </w:pPr>
          </w:p>
        </w:tc>
        <w:tc>
          <w:tcPr>
            <w:tcW w:w="733" w:type="dxa"/>
            <w:vMerge w:val="continue"/>
            <w:shd w:val="clear" w:color="auto" w:fill="auto"/>
            <w:vAlign w:val="center"/>
          </w:tcPr>
          <w:p>
            <w:pPr>
              <w:pStyle w:val="2"/>
              <w:rPr>
                <w:highlight w:val="none"/>
              </w:rPr>
            </w:pPr>
          </w:p>
        </w:tc>
        <w:tc>
          <w:tcPr>
            <w:tcW w:w="2000" w:type="dxa"/>
            <w:vMerge w:val="continue"/>
            <w:shd w:val="clear" w:color="auto" w:fill="auto"/>
            <w:vAlign w:val="center"/>
          </w:tcPr>
          <w:p>
            <w:pPr>
              <w:pStyle w:val="2"/>
              <w:rPr>
                <w:highlight w:val="none"/>
              </w:rPr>
            </w:pPr>
          </w:p>
        </w:tc>
        <w:tc>
          <w:tcPr>
            <w:tcW w:w="1687" w:type="dxa"/>
            <w:vMerge w:val="continue"/>
            <w:shd w:val="clear" w:color="auto" w:fill="auto"/>
            <w:vAlign w:val="center"/>
          </w:tcPr>
          <w:p>
            <w:pPr>
              <w:pStyle w:val="2"/>
              <w:rPr>
                <w:highlight w:val="none"/>
              </w:rPr>
            </w:pPr>
          </w:p>
        </w:tc>
        <w:tc>
          <w:tcPr>
            <w:tcW w:w="1004" w:type="dxa"/>
            <w:vMerge w:val="continue"/>
            <w:shd w:val="clear" w:color="auto" w:fill="auto"/>
            <w:vAlign w:val="center"/>
          </w:tcPr>
          <w:p>
            <w:pPr>
              <w:pStyle w:val="2"/>
              <w:rPr>
                <w:highlight w:val="none"/>
              </w:rPr>
            </w:pPr>
          </w:p>
        </w:tc>
      </w:tr>
    </w:tbl>
    <w:p>
      <w:pPr>
        <w:jc w:val="left"/>
        <w:rPr>
          <w:rFonts w:hint="eastAsia"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pPr>
        <w:jc w:val="left"/>
        <w:rPr>
          <w:rFonts w:ascii="仿宋" w:hAnsi="仿宋" w:eastAsia="仿宋"/>
          <w:sz w:val="22"/>
          <w:szCs w:val="22"/>
          <w:highlight w:val="none"/>
        </w:rPr>
      </w:pPr>
      <w:r>
        <w:rPr>
          <w:rFonts w:hint="eastAsia" w:ascii="仿宋" w:hAnsi="仿宋" w:eastAsia="仿宋"/>
          <w:sz w:val="22"/>
          <w:szCs w:val="22"/>
          <w:highlight w:val="none"/>
        </w:rPr>
        <w:t>备注：</w:t>
      </w:r>
    </w:p>
    <w:p>
      <w:pPr>
        <w:jc w:val="left"/>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2"/>
        <w:rPr>
          <w:rFonts w:hint="eastAsia" w:ascii="仿宋" w:hAnsi="仿宋" w:eastAsia="仿宋"/>
          <w:sz w:val="22"/>
          <w:szCs w:val="22"/>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sz w:val="22"/>
          <w:szCs w:val="22"/>
          <w:highlight w:val="none"/>
        </w:rPr>
        <w:t>2.投标文件中提供的证明材料复印件应复印清晰、可辨认且不得遮盖、涂抹，否则视为无效。</w:t>
      </w:r>
    </w:p>
    <w:p>
      <w:pPr>
        <w:pStyle w:val="3"/>
        <w:jc w:val="left"/>
        <w:rPr>
          <w:highlight w:val="none"/>
        </w:rPr>
      </w:pPr>
      <w:r>
        <w:rPr>
          <w:rFonts w:hint="eastAsia" w:ascii="仿宋" w:hAnsi="仿宋" w:eastAsia="仿宋"/>
          <w:b/>
          <w:color w:val="auto"/>
          <w:sz w:val="24"/>
          <w:szCs w:val="24"/>
          <w:highlight w:val="none"/>
          <w:lang w:val="en-US" w:eastAsia="zh-CN"/>
        </w:rPr>
        <w:t>分标三：设备配件采购项目</w:t>
      </w:r>
    </w:p>
    <w:tbl>
      <w:tblPr>
        <w:tblStyle w:val="9"/>
        <w:tblW w:w="50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1287"/>
        <w:gridCol w:w="721"/>
        <w:gridCol w:w="771"/>
        <w:gridCol w:w="952"/>
        <w:gridCol w:w="1224"/>
        <w:gridCol w:w="1062"/>
        <w:gridCol w:w="3151"/>
        <w:gridCol w:w="2652"/>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500" w:type="pct"/>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项目名称及包号</w:t>
            </w:r>
          </w:p>
        </w:tc>
        <w:tc>
          <w:tcPr>
            <w:tcW w:w="446" w:type="pct"/>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主要技术要求</w:t>
            </w:r>
          </w:p>
        </w:tc>
        <w:tc>
          <w:tcPr>
            <w:tcW w:w="250" w:type="pct"/>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单位</w:t>
            </w:r>
          </w:p>
        </w:tc>
        <w:tc>
          <w:tcPr>
            <w:tcW w:w="267" w:type="pct"/>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数量</w:t>
            </w:r>
          </w:p>
        </w:tc>
        <w:tc>
          <w:tcPr>
            <w:tcW w:w="330" w:type="pct"/>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交货日期</w:t>
            </w:r>
          </w:p>
        </w:tc>
        <w:tc>
          <w:tcPr>
            <w:tcW w:w="424" w:type="pct"/>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质保期</w:t>
            </w:r>
          </w:p>
        </w:tc>
        <w:tc>
          <w:tcPr>
            <w:tcW w:w="368" w:type="pct"/>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交货地点</w:t>
            </w:r>
          </w:p>
        </w:tc>
        <w:tc>
          <w:tcPr>
            <w:tcW w:w="1092" w:type="pct"/>
            <w:shd w:val="clear" w:color="auto" w:fill="auto"/>
            <w:vAlign w:val="center"/>
          </w:tcPr>
          <w:p>
            <w:pPr>
              <w:widowControl/>
              <w:shd w:val="clear"/>
              <w:jc w:val="center"/>
              <w:rPr>
                <w:rFonts w:hint="eastAsia" w:ascii="仿宋" w:hAnsi="仿宋" w:eastAsia="仿宋" w:cs="Arial"/>
                <w:b/>
                <w:bCs/>
                <w:kern w:val="0"/>
                <w:sz w:val="22"/>
                <w:szCs w:val="22"/>
                <w:highlight w:val="none"/>
              </w:rPr>
            </w:pPr>
            <w:r>
              <w:rPr>
                <w:rFonts w:hint="eastAsia" w:ascii="仿宋" w:hAnsi="仿宋" w:eastAsia="仿宋" w:cs="仿宋"/>
                <w:b/>
                <w:bCs/>
                <w:color w:val="auto"/>
                <w:kern w:val="0"/>
                <w:sz w:val="22"/>
                <w:szCs w:val="22"/>
                <w:highlight w:val="none"/>
                <w:lang w:val="en-US" w:eastAsia="zh-CN"/>
              </w:rPr>
              <w:t>专用资质要求</w:t>
            </w:r>
          </w:p>
        </w:tc>
        <w:tc>
          <w:tcPr>
            <w:tcW w:w="919" w:type="pct"/>
            <w:shd w:val="clear" w:color="auto" w:fill="auto"/>
            <w:vAlign w:val="center"/>
          </w:tcPr>
          <w:p>
            <w:pPr>
              <w:widowControl/>
              <w:shd w:val="clear"/>
              <w:jc w:val="center"/>
              <w:rPr>
                <w:rFonts w:hint="eastAsia" w:ascii="仿宋" w:hAnsi="仿宋" w:eastAsia="仿宋" w:cs="Arial"/>
                <w:b/>
                <w:bCs/>
                <w:kern w:val="0"/>
                <w:sz w:val="22"/>
                <w:szCs w:val="22"/>
                <w:highlight w:val="none"/>
              </w:rPr>
            </w:pPr>
            <w:r>
              <w:rPr>
                <w:rFonts w:hint="eastAsia" w:ascii="仿宋" w:hAnsi="仿宋" w:eastAsia="仿宋" w:cs="仿宋"/>
                <w:b/>
                <w:bCs/>
                <w:color w:val="auto"/>
                <w:kern w:val="0"/>
                <w:sz w:val="22"/>
                <w:szCs w:val="22"/>
                <w:highlight w:val="none"/>
                <w:lang w:val="en-US" w:eastAsia="zh-CN"/>
              </w:rPr>
              <w:t>专用业绩要求</w:t>
            </w:r>
          </w:p>
        </w:tc>
        <w:tc>
          <w:tcPr>
            <w:tcW w:w="399" w:type="pct"/>
            <w:shd w:val="clear" w:color="auto" w:fill="auto"/>
            <w:vAlign w:val="center"/>
          </w:tcPr>
          <w:p>
            <w:pPr>
              <w:widowControl/>
              <w:shd w:val="clear"/>
              <w:jc w:val="center"/>
              <w:rPr>
                <w:rFonts w:hint="eastAsia" w:ascii="仿宋" w:hAnsi="仿宋" w:eastAsia="仿宋" w:cs="Arial"/>
                <w:b/>
                <w:bCs/>
                <w:kern w:val="0"/>
                <w:sz w:val="22"/>
                <w:szCs w:val="22"/>
                <w:highlight w:val="none"/>
              </w:rPr>
            </w:pPr>
            <w:r>
              <w:rPr>
                <w:rFonts w:hint="eastAsia" w:ascii="仿宋" w:hAnsi="仿宋" w:eastAsia="仿宋" w:cs="仿宋"/>
                <w:b/>
                <w:bCs/>
                <w:color w:val="auto"/>
                <w:kern w:val="0"/>
                <w:sz w:val="22"/>
                <w:szCs w:val="22"/>
                <w:highlight w:val="none"/>
                <w:lang w:val="en-US"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500" w:type="pct"/>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设备配件采购项目</w:t>
            </w:r>
          </w:p>
        </w:tc>
        <w:tc>
          <w:tcPr>
            <w:tcW w:w="446" w:type="pct"/>
            <w:shd w:val="clear" w:color="auto" w:fill="auto"/>
            <w:vAlign w:val="center"/>
          </w:tcPr>
          <w:p>
            <w:pPr>
              <w:widowControl/>
              <w:rPr>
                <w:rFonts w:ascii="仿宋" w:hAnsi="仿宋" w:eastAsia="仿宋" w:cs="Arial"/>
                <w:kern w:val="0"/>
                <w:sz w:val="22"/>
                <w:szCs w:val="22"/>
                <w:highlight w:val="none"/>
              </w:rPr>
            </w:pPr>
            <w:r>
              <w:rPr>
                <w:rFonts w:hint="eastAsia" w:ascii="仿宋" w:hAnsi="仿宋" w:eastAsia="仿宋" w:cs="Arial"/>
                <w:kern w:val="0"/>
                <w:sz w:val="22"/>
                <w:szCs w:val="22"/>
                <w:highlight w:val="none"/>
              </w:rPr>
              <w:t>二次设备通用配件、电源插件、保护插件等。</w:t>
            </w:r>
          </w:p>
        </w:tc>
        <w:tc>
          <w:tcPr>
            <w:tcW w:w="250" w:type="pct"/>
            <w:shd w:val="clear" w:color="000000" w:fill="FFFFFF"/>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个</w:t>
            </w:r>
          </w:p>
        </w:tc>
        <w:tc>
          <w:tcPr>
            <w:tcW w:w="267" w:type="pct"/>
            <w:shd w:val="clear" w:color="000000" w:fill="FFFFFF"/>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198</w:t>
            </w:r>
          </w:p>
        </w:tc>
        <w:tc>
          <w:tcPr>
            <w:tcW w:w="330" w:type="pct"/>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接到供货通知后</w:t>
            </w:r>
            <w:r>
              <w:rPr>
                <w:rFonts w:ascii="仿宋" w:hAnsi="仿宋" w:eastAsia="仿宋" w:cs="Arial"/>
                <w:kern w:val="0"/>
                <w:sz w:val="22"/>
                <w:szCs w:val="22"/>
                <w:highlight w:val="none"/>
              </w:rPr>
              <w:t>15</w:t>
            </w:r>
          </w:p>
          <w:p>
            <w:pPr>
              <w:widowControl/>
              <w:rPr>
                <w:rFonts w:ascii="仿宋" w:hAnsi="仿宋" w:eastAsia="仿宋" w:cs="Arial"/>
                <w:kern w:val="0"/>
                <w:sz w:val="22"/>
                <w:szCs w:val="22"/>
                <w:highlight w:val="none"/>
              </w:rPr>
            </w:pPr>
            <w:r>
              <w:rPr>
                <w:rFonts w:hint="eastAsia" w:ascii="仿宋" w:hAnsi="仿宋" w:eastAsia="仿宋" w:cs="Arial"/>
                <w:kern w:val="0"/>
                <w:sz w:val="22"/>
                <w:szCs w:val="22"/>
                <w:highlight w:val="none"/>
              </w:rPr>
              <w:t>日内</w:t>
            </w:r>
          </w:p>
        </w:tc>
        <w:tc>
          <w:tcPr>
            <w:tcW w:w="424" w:type="pct"/>
            <w:vAlign w:val="center"/>
          </w:tcPr>
          <w:p>
            <w:pPr>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3年</w:t>
            </w:r>
          </w:p>
        </w:tc>
        <w:tc>
          <w:tcPr>
            <w:tcW w:w="368" w:type="pct"/>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买方指定仓库地面交货</w:t>
            </w:r>
          </w:p>
        </w:tc>
        <w:tc>
          <w:tcPr>
            <w:tcW w:w="1092" w:type="pct"/>
            <w:shd w:val="clear" w:color="auto" w:fill="auto"/>
            <w:vAlign w:val="center"/>
          </w:tcPr>
          <w:p>
            <w:pPr>
              <w:widowControl/>
              <w:jc w:val="center"/>
              <w:rPr>
                <w:rFonts w:hint="eastAsia" w:ascii="仿宋" w:hAnsi="仿宋" w:eastAsia="仿宋" w:cs="Arial"/>
                <w:kern w:val="0"/>
                <w:sz w:val="22"/>
                <w:szCs w:val="22"/>
                <w:highlight w:val="none"/>
                <w:lang w:val="en-US" w:eastAsia="zh-CN"/>
              </w:rPr>
            </w:pPr>
            <w:r>
              <w:rPr>
                <w:rFonts w:hint="eastAsia" w:ascii="仿宋" w:hAnsi="仿宋" w:eastAsia="仿宋" w:cs="Arial"/>
                <w:kern w:val="0"/>
                <w:sz w:val="22"/>
                <w:szCs w:val="22"/>
                <w:highlight w:val="none"/>
                <w:lang w:val="en-US" w:eastAsia="zh-CN"/>
              </w:rPr>
              <w:t>1.</w:t>
            </w:r>
            <w:r>
              <w:rPr>
                <w:rFonts w:hint="eastAsia" w:ascii="仿宋" w:hAnsi="仿宋" w:eastAsia="仿宋" w:cs="Arial"/>
                <w:kern w:val="0"/>
                <w:sz w:val="22"/>
                <w:szCs w:val="22"/>
                <w:highlight w:val="none"/>
              </w:rPr>
              <w:t>厂商要求</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集货商</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lang w:val="en-US" w:eastAsia="zh-CN"/>
              </w:rPr>
              <w:t>2.</w:t>
            </w:r>
            <w:r>
              <w:rPr>
                <w:rFonts w:hint="eastAsia" w:ascii="仿宋" w:hAnsi="仿宋" w:eastAsia="仿宋" w:cs="Arial"/>
                <w:kern w:val="0"/>
                <w:sz w:val="22"/>
                <w:szCs w:val="22"/>
                <w:highlight w:val="none"/>
              </w:rPr>
              <w:t>认证证书</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提供有效的ISO9000系列质量管理体系认证证书</w:t>
            </w:r>
            <w:r>
              <w:rPr>
                <w:rFonts w:hint="eastAsia" w:ascii="仿宋" w:hAnsi="仿宋" w:eastAsia="仿宋" w:cs="Arial"/>
                <w:kern w:val="0"/>
                <w:sz w:val="22"/>
                <w:szCs w:val="22"/>
                <w:highlight w:val="none"/>
                <w:lang w:eastAsia="zh-CN"/>
              </w:rPr>
              <w:t>。</w:t>
            </w:r>
          </w:p>
        </w:tc>
        <w:tc>
          <w:tcPr>
            <w:tcW w:w="919" w:type="pct"/>
            <w:shd w:val="clear" w:color="auto" w:fill="auto"/>
            <w:vAlign w:val="center"/>
          </w:tcPr>
          <w:p>
            <w:pPr>
              <w:widowControl/>
              <w:jc w:val="center"/>
              <w:rPr>
                <w:rFonts w:hint="eastAsia" w:ascii="仿宋" w:hAnsi="仿宋" w:eastAsia="仿宋" w:cs="Arial"/>
                <w:kern w:val="0"/>
                <w:sz w:val="22"/>
                <w:szCs w:val="22"/>
                <w:highlight w:val="none"/>
                <w:lang w:eastAsia="zh-CN"/>
              </w:rPr>
            </w:pPr>
            <w:r>
              <w:rPr>
                <w:rFonts w:hint="eastAsia" w:ascii="仿宋" w:hAnsi="仿宋" w:eastAsia="仿宋" w:cs="Arial"/>
                <w:kern w:val="0"/>
                <w:sz w:val="22"/>
                <w:szCs w:val="22"/>
                <w:highlight w:val="none"/>
              </w:rPr>
              <w:t>业绩要求</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2020年1月1日至招标公告发布之日内电气设备配件类产品累计销售业绩不少于200万。注：业绩必须提供对应的合同复印件。</w:t>
            </w:r>
          </w:p>
        </w:tc>
        <w:tc>
          <w:tcPr>
            <w:tcW w:w="39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2.3</w:t>
            </w:r>
          </w:p>
        </w:tc>
      </w:tr>
    </w:tbl>
    <w:p>
      <w:pPr>
        <w:ind w:firstLine="420"/>
        <w:rPr>
          <w:rFonts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pPr>
        <w:rPr>
          <w:rFonts w:ascii="仿宋" w:hAnsi="仿宋" w:eastAsia="仿宋"/>
          <w:sz w:val="22"/>
          <w:szCs w:val="22"/>
          <w:highlight w:val="none"/>
        </w:rPr>
      </w:pPr>
      <w:r>
        <w:rPr>
          <w:rFonts w:hint="eastAsia" w:ascii="仿宋" w:hAnsi="仿宋" w:eastAsia="仿宋"/>
          <w:sz w:val="22"/>
          <w:szCs w:val="22"/>
          <w:highlight w:val="none"/>
        </w:rPr>
        <w:t>备注：</w:t>
      </w:r>
    </w:p>
    <w:p>
      <w:pPr>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highlight w:val="none"/>
        </w:rPr>
      </w:pPr>
      <w:r>
        <w:rPr>
          <w:rFonts w:hint="eastAsia" w:ascii="仿宋" w:hAnsi="仿宋" w:eastAsia="仿宋"/>
          <w:sz w:val="22"/>
          <w:szCs w:val="22"/>
          <w:highlight w:val="none"/>
        </w:rPr>
        <w:t>2.投标文件中提供的证明材料复印件应复印清晰、可辨认且不得遮盖、涂抹，否则视为无效。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D39DA"/>
    <w:multiLevelType w:val="singleLevel"/>
    <w:tmpl w:val="DD1D39D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wY2M5NGVmY2Y5YTVkMTJmMzEwY2NlODY1MmIwYTMifQ=="/>
  </w:docVars>
  <w:rsids>
    <w:rsidRoot w:val="00090E29"/>
    <w:rsid w:val="00090E29"/>
    <w:rsid w:val="00096144"/>
    <w:rsid w:val="000C018A"/>
    <w:rsid w:val="0013644E"/>
    <w:rsid w:val="001855CA"/>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4FC416D"/>
    <w:rsid w:val="06816373"/>
    <w:rsid w:val="0876413A"/>
    <w:rsid w:val="08912845"/>
    <w:rsid w:val="089F22C8"/>
    <w:rsid w:val="0906460D"/>
    <w:rsid w:val="09981FC5"/>
    <w:rsid w:val="09E04429"/>
    <w:rsid w:val="0A3001E0"/>
    <w:rsid w:val="0BC04CF3"/>
    <w:rsid w:val="0CDB468D"/>
    <w:rsid w:val="0DB95E90"/>
    <w:rsid w:val="0EA12E42"/>
    <w:rsid w:val="0F2134B8"/>
    <w:rsid w:val="0F853369"/>
    <w:rsid w:val="0FB1516E"/>
    <w:rsid w:val="10444E99"/>
    <w:rsid w:val="11FC0675"/>
    <w:rsid w:val="146D2DFE"/>
    <w:rsid w:val="14EE61CB"/>
    <w:rsid w:val="167F68EE"/>
    <w:rsid w:val="169A6592"/>
    <w:rsid w:val="183F7C42"/>
    <w:rsid w:val="18D04F26"/>
    <w:rsid w:val="19144778"/>
    <w:rsid w:val="19F57C86"/>
    <w:rsid w:val="1B224D55"/>
    <w:rsid w:val="1B3B1EBB"/>
    <w:rsid w:val="1BCA56F4"/>
    <w:rsid w:val="1BD229BC"/>
    <w:rsid w:val="1C510C82"/>
    <w:rsid w:val="1D514BA0"/>
    <w:rsid w:val="1EF10925"/>
    <w:rsid w:val="1F3D1E63"/>
    <w:rsid w:val="20142DFA"/>
    <w:rsid w:val="203577BE"/>
    <w:rsid w:val="20373F93"/>
    <w:rsid w:val="22D20AD3"/>
    <w:rsid w:val="26C9733C"/>
    <w:rsid w:val="26D04D02"/>
    <w:rsid w:val="274A6465"/>
    <w:rsid w:val="27BF14E5"/>
    <w:rsid w:val="27E6353A"/>
    <w:rsid w:val="283F1CD8"/>
    <w:rsid w:val="2894561A"/>
    <w:rsid w:val="2910361F"/>
    <w:rsid w:val="29E71C19"/>
    <w:rsid w:val="2B7E4049"/>
    <w:rsid w:val="2C5C438C"/>
    <w:rsid w:val="2D1A547B"/>
    <w:rsid w:val="308B1E37"/>
    <w:rsid w:val="31BA0B13"/>
    <w:rsid w:val="32061D68"/>
    <w:rsid w:val="32580053"/>
    <w:rsid w:val="32F0076D"/>
    <w:rsid w:val="32F60393"/>
    <w:rsid w:val="344E7D48"/>
    <w:rsid w:val="36A81F19"/>
    <w:rsid w:val="36CA60B6"/>
    <w:rsid w:val="3790383E"/>
    <w:rsid w:val="37AF7C77"/>
    <w:rsid w:val="38B81CA1"/>
    <w:rsid w:val="3A910FF4"/>
    <w:rsid w:val="3ABB128A"/>
    <w:rsid w:val="3B0E674D"/>
    <w:rsid w:val="3B1F79D9"/>
    <w:rsid w:val="3C4E257E"/>
    <w:rsid w:val="3CC36B3B"/>
    <w:rsid w:val="3CCF6B42"/>
    <w:rsid w:val="3D9E4B60"/>
    <w:rsid w:val="3FB31195"/>
    <w:rsid w:val="405979E4"/>
    <w:rsid w:val="416B26FA"/>
    <w:rsid w:val="439E6864"/>
    <w:rsid w:val="43E01DD0"/>
    <w:rsid w:val="446245CF"/>
    <w:rsid w:val="44C338D6"/>
    <w:rsid w:val="455B308D"/>
    <w:rsid w:val="464B5DCF"/>
    <w:rsid w:val="470E0D4D"/>
    <w:rsid w:val="476A5954"/>
    <w:rsid w:val="485278A8"/>
    <w:rsid w:val="494C2758"/>
    <w:rsid w:val="49721EC3"/>
    <w:rsid w:val="49A858B7"/>
    <w:rsid w:val="4A87279D"/>
    <w:rsid w:val="4B567869"/>
    <w:rsid w:val="4BDB43AD"/>
    <w:rsid w:val="4C3B71AC"/>
    <w:rsid w:val="4D444125"/>
    <w:rsid w:val="4D8E7176"/>
    <w:rsid w:val="4DD54703"/>
    <w:rsid w:val="4E0711EB"/>
    <w:rsid w:val="507846AA"/>
    <w:rsid w:val="51B0110A"/>
    <w:rsid w:val="52513C34"/>
    <w:rsid w:val="53511291"/>
    <w:rsid w:val="53791460"/>
    <w:rsid w:val="54216585"/>
    <w:rsid w:val="54E95C72"/>
    <w:rsid w:val="55656F9E"/>
    <w:rsid w:val="557F4DE1"/>
    <w:rsid w:val="55A579A1"/>
    <w:rsid w:val="55F54C7D"/>
    <w:rsid w:val="568B6C91"/>
    <w:rsid w:val="57857FF7"/>
    <w:rsid w:val="57FD640F"/>
    <w:rsid w:val="58765B48"/>
    <w:rsid w:val="5A3033EE"/>
    <w:rsid w:val="5AC040F1"/>
    <w:rsid w:val="5C263591"/>
    <w:rsid w:val="5C3E77E9"/>
    <w:rsid w:val="5DA22CDF"/>
    <w:rsid w:val="5EC86D9B"/>
    <w:rsid w:val="5F9C524B"/>
    <w:rsid w:val="5FF27BF4"/>
    <w:rsid w:val="60A05C01"/>
    <w:rsid w:val="62922A0B"/>
    <w:rsid w:val="632B03E5"/>
    <w:rsid w:val="633B3238"/>
    <w:rsid w:val="63400718"/>
    <w:rsid w:val="65870405"/>
    <w:rsid w:val="676906D7"/>
    <w:rsid w:val="692913FD"/>
    <w:rsid w:val="69481F1D"/>
    <w:rsid w:val="6B0033F1"/>
    <w:rsid w:val="6B6E095E"/>
    <w:rsid w:val="6CF1193D"/>
    <w:rsid w:val="6E02774C"/>
    <w:rsid w:val="6E1718FD"/>
    <w:rsid w:val="6E677844"/>
    <w:rsid w:val="6F01698A"/>
    <w:rsid w:val="6F654A89"/>
    <w:rsid w:val="7014228B"/>
    <w:rsid w:val="702D53B9"/>
    <w:rsid w:val="703525D6"/>
    <w:rsid w:val="735E7233"/>
    <w:rsid w:val="75FF703D"/>
    <w:rsid w:val="768176EC"/>
    <w:rsid w:val="76861E4C"/>
    <w:rsid w:val="77F03460"/>
    <w:rsid w:val="78270F8A"/>
    <w:rsid w:val="78305C20"/>
    <w:rsid w:val="786E1F54"/>
    <w:rsid w:val="78E00C4B"/>
    <w:rsid w:val="79285B16"/>
    <w:rsid w:val="7A387BE2"/>
    <w:rsid w:val="7AF431F7"/>
    <w:rsid w:val="7B3A67BA"/>
    <w:rsid w:val="7C071D5E"/>
    <w:rsid w:val="7C1E0984"/>
    <w:rsid w:val="7C7826AC"/>
    <w:rsid w:val="7D0A606C"/>
    <w:rsid w:val="7DF050B2"/>
    <w:rsid w:val="7E23324A"/>
    <w:rsid w:val="7EC421EB"/>
    <w:rsid w:val="7EE5468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6"/>
    <w:qFormat/>
    <w:uiPriority w:val="0"/>
    <w:pPr>
      <w:jc w:val="center"/>
      <w:outlineLvl w:val="0"/>
    </w:pPr>
    <w:rPr>
      <w:b/>
      <w:kern w:val="44"/>
      <w:sz w:val="44"/>
    </w:rPr>
  </w:style>
  <w:style w:type="paragraph" w:styleId="5">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pPr>
      <w:spacing w:after="120"/>
    </w:pPr>
  </w:style>
  <w:style w:type="paragraph" w:styleId="3">
    <w:name w:val="Title"/>
    <w:basedOn w:val="1"/>
    <w:next w:val="1"/>
    <w:qFormat/>
    <w:uiPriority w:val="10"/>
    <w:pPr>
      <w:spacing w:before="240" w:after="60"/>
      <w:jc w:val="center"/>
    </w:pPr>
    <w:rPr>
      <w:rFonts w:ascii="Arial" w:hAnsi="Arial"/>
      <w:bCs/>
      <w:sz w:val="32"/>
      <w:szCs w:val="32"/>
    </w:r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Hyperlink"/>
    <w:qFormat/>
    <w:uiPriority w:val="99"/>
    <w:rPr>
      <w:color w:val="0000FF"/>
      <w:u w:val="single"/>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标题 1 Char"/>
    <w:basedOn w:val="11"/>
    <w:link w:val="4"/>
    <w:qFormat/>
    <w:uiPriority w:val="0"/>
    <w:rPr>
      <w:rFonts w:ascii="Times New Roman" w:hAnsi="Times New Roman" w:eastAsia="宋体" w:cs="Times New Roman"/>
      <w:b/>
      <w:kern w:val="44"/>
      <w:sz w:val="44"/>
      <w:szCs w:val="20"/>
    </w:rPr>
  </w:style>
  <w:style w:type="paragraph" w:customStyle="1" w:styleId="17">
    <w:name w:val="本文正文"/>
    <w:basedOn w:val="1"/>
    <w:qFormat/>
    <w:uiPriority w:val="0"/>
    <w:pPr>
      <w:tabs>
        <w:tab w:val="left" w:pos="630"/>
      </w:tabs>
      <w:topLinePunct/>
      <w:adjustRightInd w:val="0"/>
      <w:spacing w:line="360" w:lineRule="exact"/>
    </w:pPr>
    <w:rPr>
      <w:color w:val="000000"/>
    </w:rPr>
  </w:style>
  <w:style w:type="paragraph" w:customStyle="1" w:styleId="18">
    <w:name w:val="Normal_1"/>
    <w:qFormat/>
    <w:uiPriority w:val="0"/>
    <w:pPr>
      <w:widowControl w:val="0"/>
      <w:jc w:val="both"/>
    </w:pPr>
    <w:rPr>
      <w:rFonts w:ascii="Times New Roman" w:hAnsi="Times New Roman" w:eastAsia="宋体" w:cs="Times New Roman"/>
      <w:lang w:val="en-US" w:eastAsia="zh-CN" w:bidi="ar-SA"/>
    </w:rPr>
  </w:style>
  <w:style w:type="character" w:customStyle="1" w:styleId="19">
    <w:name w:val="批注框文本 Char"/>
    <w:basedOn w:val="11"/>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4579</Words>
  <Characters>5222</Characters>
  <Lines>28</Lines>
  <Paragraphs>8</Paragraphs>
  <TotalTime>4</TotalTime>
  <ScaleCrop>false</ScaleCrop>
  <LinksUpToDate>false</LinksUpToDate>
  <CharactersWithSpaces>5236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 昙花一现</cp:lastModifiedBy>
  <dcterms:modified xsi:type="dcterms:W3CDTF">2023-07-11T09:37:20Z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F0DCD8A4B83C4C378BD2AAF1F92DCD1B_13</vt:lpwstr>
  </property>
</Properties>
</file>