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3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16"/>
        <w:gridCol w:w="2693"/>
        <w:gridCol w:w="425"/>
        <w:gridCol w:w="709"/>
        <w:gridCol w:w="818"/>
        <w:gridCol w:w="772"/>
        <w:gridCol w:w="994"/>
        <w:gridCol w:w="1447"/>
        <w:gridCol w:w="174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质保期（不低于）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换流站自动机场采购项目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换流站自动机场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topLinePunct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至少支持航线规划、任务管理、质量控制、数据管理、指点飞行等基础功能，并支持与数字站其他系统或高级应用（如一键顺控）进行数据交互或功能调用；至少配置2套无人机，具备自动避障辅助定位能力，至少1套无人机配置3轴云台；能够与换流站反无人机主动防御系统有效联动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36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买方指定地点地面交货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厂商要求：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供应商应具有独立订立合同的法人资格。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2020年1月1日至招标采购公告发布日止，完成过无人机及相关配件、载荷、自动机场、机巢、智能巡检系统销售业绩不少于2份，合同额累计不少于100万元。注：业绩必须提供对应的合同复印件。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3.3</w:t>
            </w:r>
          </w:p>
        </w:tc>
      </w:tr>
    </w:tbl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pStyle w:val="16"/>
        <w:ind w:left="-357" w:leftChars="-170" w:firstLine="440"/>
        <w:outlineLvl w:val="0"/>
        <w:rPr>
          <w:rFonts w:ascii="仿宋" w:hAnsi="仿宋" w:eastAsia="仿宋" w:cs="仿宋"/>
          <w:color w:val="000000" w:themeColor="text1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sz w:val="22"/>
          <w:szCs w:val="22"/>
          <w:highlight w:val="none"/>
        </w:rPr>
        <w:t>。</w:t>
      </w:r>
      <w:bookmarkEnd w:id="0"/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4043A2"/>
    <w:rsid w:val="01C46A49"/>
    <w:rsid w:val="04FC416D"/>
    <w:rsid w:val="056A1771"/>
    <w:rsid w:val="06816373"/>
    <w:rsid w:val="0876413A"/>
    <w:rsid w:val="089F22C8"/>
    <w:rsid w:val="0906460D"/>
    <w:rsid w:val="091E3A91"/>
    <w:rsid w:val="09E04429"/>
    <w:rsid w:val="09E87AEC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A6C66B0"/>
    <w:rsid w:val="2B43766B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62E7CF2"/>
    <w:rsid w:val="476A5954"/>
    <w:rsid w:val="494C2758"/>
    <w:rsid w:val="494E09BC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671333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5D753CD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3309</Words>
  <Characters>3753</Characters>
  <Lines>28</Lines>
  <Paragraphs>8</Paragraphs>
  <TotalTime>1</TotalTime>
  <ScaleCrop>false</ScaleCrop>
  <LinksUpToDate>false</LinksUpToDate>
  <CharactersWithSpaces>3777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 昙花一现</cp:lastModifiedBy>
  <dcterms:modified xsi:type="dcterms:W3CDTF">2023-08-02T12:58:48Z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33CF8C10D04B430CA2B67A9BD6B7F4C6</vt:lpwstr>
  </property>
</Properties>
</file>