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山东中实易通集团有限公司2023年十一月第一批物资公开招标采购项目中标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（招标编号：ZSYT231101WZGKZB）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山东中实易通集团有限公司2023年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十一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月第一批物资公开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采购项目评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期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天。投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8"/>
        <w:tblW w:w="9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840"/>
        <w:gridCol w:w="1713"/>
        <w:gridCol w:w="1272"/>
        <w:gridCol w:w="801"/>
        <w:gridCol w:w="876"/>
        <w:gridCol w:w="1206"/>
        <w:gridCol w:w="936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YTZBWZ2023-1193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YTZB20231101KJ铝铜稀土合金接地材料框架采购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北京国网弘泰科技有限公司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YTZBWZ2023-1194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YTZB20231102安全工器具试验设备采购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扬州木易环保科技有限公司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1200000元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YTZBWZ2023-1195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YTZB20231103电网综合分析程序软件采购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北京中电梧桐科技有限公司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979000元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YTZBWZ2023-1196-GJ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YTZB20231104检测耗材采购项目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申信达（北京）科技有限公司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422907元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YTZBWZ2023-1207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YTZB20231115KJ智能安全工器具室设备等采购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武汉瑞九电力科技有限公司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中标折扣率：97%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YTZBWZ2023-1208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YTZB20231116办公设备采购项目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山东汇金信息科技有限公司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122650元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招标人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：山东中实易通集团有限公司</w:t>
      </w:r>
    </w:p>
    <w:p>
      <w:pPr>
        <w:pStyle w:val="10"/>
        <w:jc w:val="right"/>
        <w:rPr>
          <w:rFonts w:hint="eastAsia" w:ascii="方正仿宋_GBK" w:hAnsi="方正仿宋_GBK" w:eastAsia="方正仿宋_GBK" w:cs="方正仿宋_GBK"/>
          <w:color w:val="auto"/>
          <w:sz w:val="30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24"/>
          <w:lang w:val="en-US" w:eastAsia="zh-CN" w:bidi="ar-SA"/>
        </w:rPr>
        <w:t>山东电力工业锅炉压力容器检验中心有限公司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代理机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 2023年11月30日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DJkYTU0YmFiODBmZThmYTAwMTE4ODUxOGEzMzU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5921"/>
    <w:rsid w:val="027F05A8"/>
    <w:rsid w:val="02D60BBC"/>
    <w:rsid w:val="045128F2"/>
    <w:rsid w:val="045A7518"/>
    <w:rsid w:val="04A617BD"/>
    <w:rsid w:val="091A0ACE"/>
    <w:rsid w:val="0B552EAF"/>
    <w:rsid w:val="0DDF64D1"/>
    <w:rsid w:val="0F68293C"/>
    <w:rsid w:val="0FC422DD"/>
    <w:rsid w:val="1018623B"/>
    <w:rsid w:val="10427E87"/>
    <w:rsid w:val="111E3388"/>
    <w:rsid w:val="11EF7635"/>
    <w:rsid w:val="122A77E9"/>
    <w:rsid w:val="126A5AB9"/>
    <w:rsid w:val="12D66EDE"/>
    <w:rsid w:val="13A01A7D"/>
    <w:rsid w:val="13DF79A0"/>
    <w:rsid w:val="13F95233"/>
    <w:rsid w:val="144942EA"/>
    <w:rsid w:val="14CA10E8"/>
    <w:rsid w:val="15354E27"/>
    <w:rsid w:val="16F86BDE"/>
    <w:rsid w:val="17D31C1F"/>
    <w:rsid w:val="1AEF3AF5"/>
    <w:rsid w:val="1B09569E"/>
    <w:rsid w:val="1B881CAF"/>
    <w:rsid w:val="1BB47C8F"/>
    <w:rsid w:val="1CA63AB1"/>
    <w:rsid w:val="1E187F6F"/>
    <w:rsid w:val="1FF44607"/>
    <w:rsid w:val="21194389"/>
    <w:rsid w:val="22CF309F"/>
    <w:rsid w:val="235A27D8"/>
    <w:rsid w:val="23FE115A"/>
    <w:rsid w:val="27DC53FE"/>
    <w:rsid w:val="285208C3"/>
    <w:rsid w:val="28D96FFD"/>
    <w:rsid w:val="28ED4356"/>
    <w:rsid w:val="29AA7EAE"/>
    <w:rsid w:val="29B06D5D"/>
    <w:rsid w:val="29FC54E8"/>
    <w:rsid w:val="2A465F84"/>
    <w:rsid w:val="2A8A25F2"/>
    <w:rsid w:val="2AD4392E"/>
    <w:rsid w:val="2BEE062F"/>
    <w:rsid w:val="2D702CB8"/>
    <w:rsid w:val="2D8C28BA"/>
    <w:rsid w:val="2EF27389"/>
    <w:rsid w:val="2F1139A0"/>
    <w:rsid w:val="2FA056B9"/>
    <w:rsid w:val="2FC05B15"/>
    <w:rsid w:val="2FCA1731"/>
    <w:rsid w:val="32471942"/>
    <w:rsid w:val="328F6430"/>
    <w:rsid w:val="330F1182"/>
    <w:rsid w:val="356E5CED"/>
    <w:rsid w:val="3B7A73C2"/>
    <w:rsid w:val="3BF35FD1"/>
    <w:rsid w:val="3DC229BF"/>
    <w:rsid w:val="403C38AF"/>
    <w:rsid w:val="406960D0"/>
    <w:rsid w:val="41114FB5"/>
    <w:rsid w:val="41846A09"/>
    <w:rsid w:val="419957BA"/>
    <w:rsid w:val="43AD4225"/>
    <w:rsid w:val="443B6FE6"/>
    <w:rsid w:val="455718A2"/>
    <w:rsid w:val="47F32F4F"/>
    <w:rsid w:val="481914CF"/>
    <w:rsid w:val="48C51B65"/>
    <w:rsid w:val="49B373AA"/>
    <w:rsid w:val="49BC7CB4"/>
    <w:rsid w:val="49BF0B34"/>
    <w:rsid w:val="4A52748B"/>
    <w:rsid w:val="4BC66E74"/>
    <w:rsid w:val="4C4E4743"/>
    <w:rsid w:val="4D0E2CC9"/>
    <w:rsid w:val="4E0A3E27"/>
    <w:rsid w:val="4EDA1EEF"/>
    <w:rsid w:val="4F006555"/>
    <w:rsid w:val="505E46D7"/>
    <w:rsid w:val="531376B4"/>
    <w:rsid w:val="53C90F08"/>
    <w:rsid w:val="567A0BDF"/>
    <w:rsid w:val="567B75D7"/>
    <w:rsid w:val="56F66ED6"/>
    <w:rsid w:val="57004055"/>
    <w:rsid w:val="592D0C78"/>
    <w:rsid w:val="5952374E"/>
    <w:rsid w:val="59826545"/>
    <w:rsid w:val="5A642894"/>
    <w:rsid w:val="5CF40CEF"/>
    <w:rsid w:val="5E4D45F9"/>
    <w:rsid w:val="5ED313A2"/>
    <w:rsid w:val="60BD4020"/>
    <w:rsid w:val="60D158CD"/>
    <w:rsid w:val="61D63370"/>
    <w:rsid w:val="6238353F"/>
    <w:rsid w:val="64625A76"/>
    <w:rsid w:val="66830DC3"/>
    <w:rsid w:val="6BC70C17"/>
    <w:rsid w:val="6CF30081"/>
    <w:rsid w:val="6D3B15E0"/>
    <w:rsid w:val="6FE92B7B"/>
    <w:rsid w:val="71503FD8"/>
    <w:rsid w:val="71517219"/>
    <w:rsid w:val="715C2428"/>
    <w:rsid w:val="73D13DE6"/>
    <w:rsid w:val="74442A5F"/>
    <w:rsid w:val="764A5A81"/>
    <w:rsid w:val="78B05EA6"/>
    <w:rsid w:val="7902649D"/>
    <w:rsid w:val="791E71A7"/>
    <w:rsid w:val="79BF00BC"/>
    <w:rsid w:val="7A0D129F"/>
    <w:rsid w:val="7BEA51DE"/>
    <w:rsid w:val="7CD759C3"/>
    <w:rsid w:val="7ED30392"/>
    <w:rsid w:val="7F40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customStyle="1" w:styleId="10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919</Words>
  <Characters>1097</Characters>
  <Lines>22</Lines>
  <Paragraphs>6</Paragraphs>
  <TotalTime>2</TotalTime>
  <ScaleCrop>false</ScaleCrop>
  <LinksUpToDate>false</LinksUpToDate>
  <CharactersWithSpaces>1104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微信用户</cp:lastModifiedBy>
  <cp:lastPrinted>2023-08-11T01:22:00Z</cp:lastPrinted>
  <dcterms:modified xsi:type="dcterms:W3CDTF">2023-11-30T05:55:37Z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871387DF5E074DD19E75CAE465E99662</vt:lpwstr>
  </property>
  <property fmtid="{D5CDD505-2E9C-101B-9397-08002B2CF9AE}" pid="4" name="commondata">
    <vt:lpwstr>eyJoZGlkIjoiZmVmYTA1ZTU2NTZhN2RiNzg3Y2EzMmY2MGU5NmNiZDcifQ==</vt:lpwstr>
  </property>
</Properties>
</file>