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山东中实易通集团有限公司2023年十一月第一批服务公开招标采购项目中标候选人公示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（招标编号：ZSYT231101FWGKZB）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山东中实易通集团有限公司2023年十一月第一批服务公开招标采购项目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标委员会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color w:val="auto"/>
          <w:sz w:val="32"/>
          <w:highlight w:val="none"/>
          <w:lang w:val="en-US" w:eastAsia="zh-CN"/>
        </w:rPr>
        <w:t>期3天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。投</w:t>
      </w: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候选人公示期间以书面形式（传真）提出。</w:t>
      </w:r>
    </w:p>
    <w:tbl>
      <w:tblPr>
        <w:tblStyle w:val="9"/>
        <w:tblW w:w="9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824"/>
        <w:gridCol w:w="1681"/>
        <w:gridCol w:w="1246"/>
        <w:gridCol w:w="788"/>
        <w:gridCol w:w="859"/>
        <w:gridCol w:w="1183"/>
        <w:gridCol w:w="919"/>
        <w:gridCol w:w="1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分标编号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包名称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YTZBFW2023-1197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YTZB20231105KJ调试工程第二批框架服务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中国电建集团山东电力建设第一工程有限公司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96.70%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YTZBFW2023-1198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YTZB20231106KJ火电机组调试工程服务框架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青岛华晨伟业电力科技工程有限公司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96.50%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YTZBFW2023-1199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YTZB20231107机组涉网调节能力分析及性能提升研究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山东科技大学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483000元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YTZBFW2023-1200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YTZB20231108蓄能器漏气自检研究技术服务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山东大学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400000元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YTZBFW2023-1201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YTZB20231109KJ聊城等地区新能源并网测试辅助服务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山东国信电力科技有限公司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97.00%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YTZBFW2023-1202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YTZB20231110KJ输变电工程电磁及声环境等检测服务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山东鼎嘉环境检测有限公司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YTZBFW2023-1203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YTZB20231111消防安全评估及检测项目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山东众安消防科技有限公司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54200元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YTZBFW2023-1204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YTZB20231112KJ消防安全性评价辅助服务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济南沁源电气自动化设备有限公司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98.90%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YTZBFW2023-1205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YTZB20231113审计咨询服务项目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中一会计师事务所有限责任公司济南分所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98340元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YTZBFW2023-1206-GJ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YTZB20231114KJ检测用脚手架搭设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山东华宁电力工程有限公司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18"/>
                <w:szCs w:val="18"/>
                <w:lang w:val="en-US" w:eastAsia="zh-CN"/>
              </w:rPr>
              <w:t>YTZBFW2023-1209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YTZB20231117KJ智能安全工器具库房维护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宁波信基建设有限公司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18"/>
                <w:szCs w:val="18"/>
                <w:highlight w:val="none"/>
                <w:lang w:val="en-US" w:eastAsia="zh-CN" w:bidi="ar-SA"/>
              </w:rPr>
              <w:t>中标折扣率：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99.00%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本公示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公示期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color w:val="auto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质疑人不得以质疑为名排挤竞争对手，进行虚假、恶意质疑，阻碍招标投标活动的正常进行。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招标人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：山东中实易通集团有限公司</w:t>
      </w:r>
    </w:p>
    <w:p>
      <w:pPr>
        <w:spacing w:line="300" w:lineRule="auto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山东电力工业锅炉压力容器检验中心有限公司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招标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highlight w:val="none"/>
          <w:lang w:val="en-US" w:eastAsia="zh-CN"/>
        </w:rPr>
        <w:t>日期： 2023年11月30日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ODJkYTU0YmFiODBmZThmYTAwMTE4ODUxOGEzMzUifQ=="/>
  </w:docVars>
  <w:rsids>
    <w:rsidRoot w:val="00A77B3E"/>
    <w:rsid w:val="00471299"/>
    <w:rsid w:val="009A0E9B"/>
    <w:rsid w:val="00A77B3E"/>
    <w:rsid w:val="00AB4B42"/>
    <w:rsid w:val="00B34877"/>
    <w:rsid w:val="00CA2A55"/>
    <w:rsid w:val="010D5921"/>
    <w:rsid w:val="045A7518"/>
    <w:rsid w:val="08E95BFC"/>
    <w:rsid w:val="09031167"/>
    <w:rsid w:val="091A0ACE"/>
    <w:rsid w:val="0B552EAF"/>
    <w:rsid w:val="0C664EE3"/>
    <w:rsid w:val="0E79367A"/>
    <w:rsid w:val="0F68293C"/>
    <w:rsid w:val="0FC422DD"/>
    <w:rsid w:val="10427E87"/>
    <w:rsid w:val="111E3388"/>
    <w:rsid w:val="11EF7635"/>
    <w:rsid w:val="12266F4A"/>
    <w:rsid w:val="122A77E9"/>
    <w:rsid w:val="126A5AB9"/>
    <w:rsid w:val="12D66EDE"/>
    <w:rsid w:val="13053B44"/>
    <w:rsid w:val="13A01A7D"/>
    <w:rsid w:val="13F95233"/>
    <w:rsid w:val="14CA10E8"/>
    <w:rsid w:val="15354E27"/>
    <w:rsid w:val="16F86BDE"/>
    <w:rsid w:val="17D31C1F"/>
    <w:rsid w:val="1AEF3AF5"/>
    <w:rsid w:val="1B09569E"/>
    <w:rsid w:val="1B1F68EA"/>
    <w:rsid w:val="1B881CAF"/>
    <w:rsid w:val="1C9C2037"/>
    <w:rsid w:val="1CA63AB1"/>
    <w:rsid w:val="1DB23D88"/>
    <w:rsid w:val="1E187F6F"/>
    <w:rsid w:val="20DF15CA"/>
    <w:rsid w:val="21194389"/>
    <w:rsid w:val="22050069"/>
    <w:rsid w:val="22CF309F"/>
    <w:rsid w:val="235A27D8"/>
    <w:rsid w:val="23FE115A"/>
    <w:rsid w:val="25726941"/>
    <w:rsid w:val="27675347"/>
    <w:rsid w:val="276A3393"/>
    <w:rsid w:val="27DC53FE"/>
    <w:rsid w:val="285208C3"/>
    <w:rsid w:val="28D96FFD"/>
    <w:rsid w:val="28ED4356"/>
    <w:rsid w:val="29AA7EAE"/>
    <w:rsid w:val="29B06D5D"/>
    <w:rsid w:val="29FB627D"/>
    <w:rsid w:val="2A8A25F2"/>
    <w:rsid w:val="2AD4392E"/>
    <w:rsid w:val="2BEE062F"/>
    <w:rsid w:val="2BFD2955"/>
    <w:rsid w:val="2D8C28BA"/>
    <w:rsid w:val="2EF27389"/>
    <w:rsid w:val="2F760974"/>
    <w:rsid w:val="2FA056B9"/>
    <w:rsid w:val="2FC05B15"/>
    <w:rsid w:val="2FCA1731"/>
    <w:rsid w:val="319D4629"/>
    <w:rsid w:val="32471942"/>
    <w:rsid w:val="328F6430"/>
    <w:rsid w:val="330F1182"/>
    <w:rsid w:val="34C30913"/>
    <w:rsid w:val="3B7A73C2"/>
    <w:rsid w:val="3CFF0F31"/>
    <w:rsid w:val="3DC229BF"/>
    <w:rsid w:val="403C38AF"/>
    <w:rsid w:val="41114FB5"/>
    <w:rsid w:val="41846A09"/>
    <w:rsid w:val="419957BA"/>
    <w:rsid w:val="42AA5C01"/>
    <w:rsid w:val="43AD4225"/>
    <w:rsid w:val="44147DF7"/>
    <w:rsid w:val="443B6FE6"/>
    <w:rsid w:val="455718A2"/>
    <w:rsid w:val="46DA3884"/>
    <w:rsid w:val="47F32F4F"/>
    <w:rsid w:val="481914CF"/>
    <w:rsid w:val="486E0728"/>
    <w:rsid w:val="49BC7CB4"/>
    <w:rsid w:val="49BF0B34"/>
    <w:rsid w:val="4A52748B"/>
    <w:rsid w:val="4B716C29"/>
    <w:rsid w:val="4C4E4743"/>
    <w:rsid w:val="4E0A3E27"/>
    <w:rsid w:val="4EDA1EEF"/>
    <w:rsid w:val="4F006555"/>
    <w:rsid w:val="4FC33A54"/>
    <w:rsid w:val="505E46D7"/>
    <w:rsid w:val="521B4A34"/>
    <w:rsid w:val="531376B4"/>
    <w:rsid w:val="53C90F08"/>
    <w:rsid w:val="567A0BDF"/>
    <w:rsid w:val="56F66ED6"/>
    <w:rsid w:val="57004055"/>
    <w:rsid w:val="592D0C78"/>
    <w:rsid w:val="593B4004"/>
    <w:rsid w:val="5952374E"/>
    <w:rsid w:val="59826545"/>
    <w:rsid w:val="5A642894"/>
    <w:rsid w:val="5CF40CEF"/>
    <w:rsid w:val="5D531128"/>
    <w:rsid w:val="5D5E2888"/>
    <w:rsid w:val="5DD81BC6"/>
    <w:rsid w:val="5E4D45F9"/>
    <w:rsid w:val="5ED313A2"/>
    <w:rsid w:val="60BD4020"/>
    <w:rsid w:val="60D158CD"/>
    <w:rsid w:val="61946FF9"/>
    <w:rsid w:val="6238353F"/>
    <w:rsid w:val="62F65DAE"/>
    <w:rsid w:val="65BA4B55"/>
    <w:rsid w:val="6681398A"/>
    <w:rsid w:val="66830DC3"/>
    <w:rsid w:val="669E4262"/>
    <w:rsid w:val="6BC70C17"/>
    <w:rsid w:val="6CF30081"/>
    <w:rsid w:val="6D3B15E0"/>
    <w:rsid w:val="6FE92B7B"/>
    <w:rsid w:val="71503FD8"/>
    <w:rsid w:val="71517219"/>
    <w:rsid w:val="715C2428"/>
    <w:rsid w:val="73D13DE6"/>
    <w:rsid w:val="74442A5F"/>
    <w:rsid w:val="78757DBE"/>
    <w:rsid w:val="78B05EA6"/>
    <w:rsid w:val="78EF0B61"/>
    <w:rsid w:val="7902649D"/>
    <w:rsid w:val="791E71A7"/>
    <w:rsid w:val="79BF00BC"/>
    <w:rsid w:val="7A0D129F"/>
    <w:rsid w:val="7A3460F5"/>
    <w:rsid w:val="7B1B5529"/>
    <w:rsid w:val="7BEA51DE"/>
    <w:rsid w:val="7CD759C3"/>
    <w:rsid w:val="7E60189F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4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Body Text Indent"/>
    <w:basedOn w:val="1"/>
    <w:next w:val="7"/>
    <w:unhideWhenUsed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Body Text First Indent 2"/>
    <w:basedOn w:val="6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1858</Words>
  <Characters>2498</Characters>
  <Lines>22</Lines>
  <Paragraphs>6</Paragraphs>
  <TotalTime>1</TotalTime>
  <ScaleCrop>false</ScaleCrop>
  <LinksUpToDate>false</LinksUpToDate>
  <CharactersWithSpaces>2504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微信用户</cp:lastModifiedBy>
  <cp:lastPrinted>2022-12-01T03:05:00Z</cp:lastPrinted>
  <dcterms:modified xsi:type="dcterms:W3CDTF">2023-11-30T05:57:47Z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871387DF5E074DD19E75CAE465E99662</vt:lpwstr>
  </property>
  <property fmtid="{D5CDD505-2E9C-101B-9397-08002B2CF9AE}" pid="4" name="commondata">
    <vt:lpwstr>eyJoZGlkIjoiZmVmYTA1ZTU2NTZhN2RiNzg3Y2EzMmY2MGU5NmNiZDcifQ==</vt:lpwstr>
  </property>
</Properties>
</file>