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附件1   招标需求一览表</w:t>
      </w:r>
    </w:p>
    <w:tbl>
      <w:tblPr>
        <w:tblStyle w:val="10"/>
        <w:tblpPr w:leftFromText="180" w:rightFromText="180" w:vertAnchor="text" w:horzAnchor="page" w:tblpX="1571" w:tblpY="288"/>
        <w:tblOverlap w:val="never"/>
        <w:tblW w:w="14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272"/>
        <w:gridCol w:w="3075"/>
        <w:gridCol w:w="644"/>
        <w:gridCol w:w="647"/>
        <w:gridCol w:w="933"/>
        <w:gridCol w:w="879"/>
        <w:gridCol w:w="1133"/>
        <w:gridCol w:w="1734"/>
        <w:gridCol w:w="2096"/>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419" w:type="dxa"/>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项目名称</w:t>
            </w:r>
          </w:p>
        </w:tc>
        <w:tc>
          <w:tcPr>
            <w:tcW w:w="1272" w:type="dxa"/>
            <w:shd w:val="clear" w:color="auto" w:fill="auto"/>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物资名称</w:t>
            </w:r>
          </w:p>
        </w:tc>
        <w:tc>
          <w:tcPr>
            <w:tcW w:w="3075" w:type="dxa"/>
            <w:shd w:val="clear" w:color="auto" w:fill="auto"/>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主要技术要求</w:t>
            </w:r>
          </w:p>
        </w:tc>
        <w:tc>
          <w:tcPr>
            <w:tcW w:w="644" w:type="dxa"/>
            <w:shd w:val="clear" w:color="auto" w:fill="auto"/>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单位</w:t>
            </w:r>
          </w:p>
        </w:tc>
        <w:tc>
          <w:tcPr>
            <w:tcW w:w="647" w:type="dxa"/>
            <w:shd w:val="clear" w:color="auto" w:fill="auto"/>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数量</w:t>
            </w:r>
          </w:p>
        </w:tc>
        <w:tc>
          <w:tcPr>
            <w:tcW w:w="933" w:type="dxa"/>
            <w:shd w:val="clear" w:color="auto" w:fill="auto"/>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交货日期</w:t>
            </w:r>
          </w:p>
        </w:tc>
        <w:tc>
          <w:tcPr>
            <w:tcW w:w="879" w:type="dxa"/>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质保期（不低于）</w:t>
            </w:r>
          </w:p>
        </w:tc>
        <w:tc>
          <w:tcPr>
            <w:tcW w:w="1133" w:type="dxa"/>
            <w:shd w:val="clear" w:color="auto" w:fill="auto"/>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交货地点</w:t>
            </w:r>
          </w:p>
        </w:tc>
        <w:tc>
          <w:tcPr>
            <w:tcW w:w="1734" w:type="dxa"/>
            <w:shd w:val="clear" w:color="auto" w:fill="auto"/>
            <w:vAlign w:val="center"/>
          </w:tcPr>
          <w:p>
            <w:pPr>
              <w:pStyle w:val="17"/>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2"/>
                <w:szCs w:val="22"/>
                <w:highlight w:val="none"/>
              </w:rPr>
              <w:t>专用资质要求</w:t>
            </w:r>
          </w:p>
        </w:tc>
        <w:tc>
          <w:tcPr>
            <w:tcW w:w="2096" w:type="dxa"/>
            <w:shd w:val="clear" w:color="auto" w:fill="auto"/>
            <w:vAlign w:val="center"/>
          </w:tcPr>
          <w:p>
            <w:pPr>
              <w:pStyle w:val="17"/>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2"/>
                <w:szCs w:val="22"/>
                <w:highlight w:val="none"/>
                <w:lang w:eastAsia="zh-CN"/>
              </w:rPr>
              <w:t>专用业绩要求</w:t>
            </w:r>
          </w:p>
        </w:tc>
        <w:tc>
          <w:tcPr>
            <w:tcW w:w="1068" w:type="dxa"/>
            <w:shd w:val="clear" w:color="auto" w:fill="auto"/>
            <w:vAlign w:val="center"/>
          </w:tcPr>
          <w:p>
            <w:pPr>
              <w:pStyle w:val="17"/>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2"/>
                <w:szCs w:val="22"/>
                <w:highlight w:val="none"/>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exact"/>
        </w:trPr>
        <w:tc>
          <w:tcPr>
            <w:tcW w:w="1419" w:type="dxa"/>
            <w:vMerge w:val="restart"/>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旋翼无人机采购项目</w:t>
            </w:r>
          </w:p>
        </w:tc>
        <w:tc>
          <w:tcPr>
            <w:tcW w:w="1272" w:type="dxa"/>
            <w:shd w:val="clear" w:color="auto" w:fill="auto"/>
            <w:vAlign w:val="center"/>
          </w:tcPr>
          <w:p>
            <w:pPr>
              <w:widowControl/>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旋翼无人机1</w:t>
            </w:r>
          </w:p>
        </w:tc>
        <w:tc>
          <w:tcPr>
            <w:tcW w:w="3075" w:type="dxa"/>
            <w:shd w:val="clear" w:color="auto" w:fill="auto"/>
            <w:vAlign w:val="center"/>
          </w:tcPr>
          <w:p>
            <w:pPr>
              <w:widowControl/>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bidi="ar"/>
              </w:rPr>
              <w:t>最大起飞重量≥9千克；最长飞行时间≥55分钟；IP防护等级≥IP55；电池容量≥5800 mAh；电池类型Li-ion 。</w:t>
            </w:r>
          </w:p>
        </w:tc>
        <w:tc>
          <w:tcPr>
            <w:tcW w:w="644" w:type="dxa"/>
            <w:shd w:val="clear" w:color="000000" w:fill="FFFFFF"/>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647" w:type="dxa"/>
            <w:shd w:val="clear" w:color="000000" w:fill="FFFFFF"/>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24</w:t>
            </w:r>
          </w:p>
        </w:tc>
        <w:tc>
          <w:tcPr>
            <w:tcW w:w="933" w:type="dxa"/>
            <w:vMerge w:val="restart"/>
            <w:shd w:val="clear" w:color="auto" w:fill="auto"/>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接到供货通知后</w:t>
            </w:r>
            <w:r>
              <w:rPr>
                <w:rFonts w:hint="eastAsia" w:ascii="仿宋" w:hAnsi="仿宋" w:eastAsia="仿宋" w:cs="仿宋"/>
                <w:color w:val="auto"/>
                <w:kern w:val="0"/>
                <w:sz w:val="24"/>
                <w:szCs w:val="24"/>
                <w:highlight w:val="none"/>
                <w:u w:val="single"/>
              </w:rPr>
              <w:t>60</w:t>
            </w:r>
            <w:r>
              <w:rPr>
                <w:rFonts w:hint="eastAsia" w:ascii="仿宋" w:hAnsi="仿宋" w:eastAsia="仿宋" w:cs="仿宋"/>
                <w:color w:val="auto"/>
                <w:kern w:val="0"/>
                <w:sz w:val="24"/>
                <w:szCs w:val="24"/>
                <w:highlight w:val="none"/>
              </w:rPr>
              <w:t>日内</w:t>
            </w:r>
          </w:p>
        </w:tc>
        <w:tc>
          <w:tcPr>
            <w:tcW w:w="879" w:type="dxa"/>
            <w:vMerge w:val="restart"/>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u w:val="single"/>
              </w:rPr>
              <w:t>36</w:t>
            </w:r>
            <w:r>
              <w:rPr>
                <w:rFonts w:hint="eastAsia" w:ascii="仿宋" w:hAnsi="仿宋" w:eastAsia="仿宋" w:cs="仿宋"/>
                <w:color w:val="auto"/>
                <w:kern w:val="0"/>
                <w:sz w:val="24"/>
                <w:szCs w:val="24"/>
                <w:highlight w:val="none"/>
              </w:rPr>
              <w:t>个月</w:t>
            </w:r>
          </w:p>
        </w:tc>
        <w:tc>
          <w:tcPr>
            <w:tcW w:w="1133" w:type="dxa"/>
            <w:vMerge w:val="restart"/>
            <w:shd w:val="clear" w:color="auto" w:fill="auto"/>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买方指定地点地面交货</w:t>
            </w:r>
          </w:p>
        </w:tc>
        <w:tc>
          <w:tcPr>
            <w:tcW w:w="1734" w:type="dxa"/>
            <w:vMerge w:val="restart"/>
            <w:shd w:val="clear" w:color="auto" w:fill="auto"/>
            <w:vAlign w:val="center"/>
          </w:tcPr>
          <w:p>
            <w:pPr>
              <w:rPr>
                <w:color w:val="auto"/>
                <w:highlight w:val="none"/>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厂商要求</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供应商应具有独立订立合同的法人资格</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备注</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具备《通用航空企业经营</w:t>
            </w:r>
            <w:r>
              <w:rPr>
                <w:rFonts w:hint="eastAsia" w:ascii="仿宋" w:hAnsi="仿宋" w:eastAsia="仿宋" w:cs="仿宋"/>
                <w:color w:val="auto"/>
                <w:sz w:val="24"/>
                <w:szCs w:val="24"/>
                <w:highlight w:val="none"/>
              </w:rPr>
              <w:t>许可证》或《民用无人驾驶航空器运营合格证》</w:t>
            </w:r>
            <w:r>
              <w:rPr>
                <w:rFonts w:hint="eastAsia" w:ascii="仿宋" w:hAnsi="仿宋" w:eastAsia="仿宋" w:cs="仿宋"/>
                <w:color w:val="auto"/>
                <w:kern w:val="0"/>
                <w:sz w:val="24"/>
                <w:szCs w:val="24"/>
                <w:highlight w:val="none"/>
              </w:rPr>
              <w:t>。</w:t>
            </w:r>
          </w:p>
          <w:p>
            <w:pPr>
              <w:jc w:val="both"/>
              <w:rPr>
                <w:rFonts w:hint="default" w:ascii="仿宋" w:hAnsi="仿宋" w:eastAsia="仿宋" w:cs="仿宋"/>
                <w:color w:val="auto"/>
                <w:kern w:val="0"/>
                <w:sz w:val="24"/>
                <w:szCs w:val="24"/>
                <w:highlight w:val="none"/>
                <w:lang w:val="en-US" w:eastAsia="zh-CN"/>
              </w:rPr>
            </w:pPr>
          </w:p>
        </w:tc>
        <w:tc>
          <w:tcPr>
            <w:tcW w:w="2096" w:type="dxa"/>
            <w:vMerge w:val="restart"/>
            <w:shd w:val="clear" w:color="auto" w:fill="auto"/>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i w:val="0"/>
                <w:iCs w:val="0"/>
                <w:color w:val="auto"/>
                <w:kern w:val="0"/>
                <w:sz w:val="24"/>
                <w:szCs w:val="24"/>
                <w:highlight w:val="none"/>
                <w:u w:val="none"/>
                <w:lang w:val="en-US" w:eastAsia="zh-CN" w:bidi="ar"/>
              </w:rPr>
              <w:t>业绩要求：</w:t>
            </w:r>
            <w:r>
              <w:rPr>
                <w:rFonts w:hint="eastAsia" w:ascii="仿宋" w:hAnsi="仿宋" w:eastAsia="仿宋" w:cs="仿宋"/>
                <w:color w:val="auto"/>
                <w:kern w:val="0"/>
                <w:sz w:val="24"/>
                <w:szCs w:val="24"/>
                <w:highlight w:val="none"/>
              </w:rPr>
              <w:t>2021年1月1日至招标采购公告发布日止，完成过无人机及相关配件、载荷销售业绩不少于2份，合同额累计不少于600万元。注：业绩必须提供对应的合同复印件。</w:t>
            </w:r>
          </w:p>
        </w:tc>
        <w:tc>
          <w:tcPr>
            <w:tcW w:w="1068" w:type="dxa"/>
            <w:vMerge w:val="restart"/>
            <w:shd w:val="clear" w:color="auto" w:fill="auto"/>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exact"/>
        </w:trPr>
        <w:tc>
          <w:tcPr>
            <w:tcW w:w="1419" w:type="dxa"/>
            <w:vMerge w:val="continue"/>
            <w:vAlign w:val="center"/>
          </w:tcPr>
          <w:p>
            <w:pPr>
              <w:widowControl/>
              <w:jc w:val="center"/>
              <w:rPr>
                <w:rFonts w:hint="eastAsia" w:ascii="仿宋" w:hAnsi="仿宋" w:eastAsia="仿宋" w:cs="仿宋"/>
                <w:color w:val="auto"/>
                <w:kern w:val="0"/>
                <w:sz w:val="24"/>
                <w:szCs w:val="24"/>
                <w:highlight w:val="none"/>
              </w:rPr>
            </w:pPr>
          </w:p>
        </w:tc>
        <w:tc>
          <w:tcPr>
            <w:tcW w:w="1272" w:type="dxa"/>
            <w:shd w:val="clear" w:color="auto" w:fill="auto"/>
            <w:vAlign w:val="center"/>
          </w:tcPr>
          <w:p>
            <w:pPr>
              <w:widowControl/>
              <w:jc w:val="center"/>
              <w:textAlignment w:val="bottom"/>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旋翼无人机2</w:t>
            </w:r>
          </w:p>
        </w:tc>
        <w:tc>
          <w:tcPr>
            <w:tcW w:w="3075" w:type="dxa"/>
            <w:shd w:val="clear" w:color="auto" w:fill="auto"/>
            <w:vAlign w:val="center"/>
          </w:tcPr>
          <w:p>
            <w:pPr>
              <w:widowControl/>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bidi="ar"/>
              </w:rPr>
              <w:t>最大起飞重量≥1050g; 最大起飞海拔高度≥7000m；最大飞行时间≥45分钟；最大水平飞行速度≥23 m/s。</w:t>
            </w:r>
          </w:p>
        </w:tc>
        <w:tc>
          <w:tcPr>
            <w:tcW w:w="644" w:type="dxa"/>
            <w:shd w:val="clear" w:color="000000" w:fill="FFFFFF"/>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647" w:type="dxa"/>
            <w:shd w:val="clear" w:color="000000" w:fill="FFFFFF"/>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933" w:type="dxa"/>
            <w:vMerge w:val="continue"/>
            <w:shd w:val="clear" w:color="auto" w:fill="auto"/>
            <w:vAlign w:val="center"/>
          </w:tcPr>
          <w:p>
            <w:pPr>
              <w:widowControl/>
              <w:jc w:val="center"/>
              <w:rPr>
                <w:rFonts w:hint="eastAsia" w:ascii="仿宋" w:hAnsi="仿宋" w:eastAsia="仿宋" w:cs="仿宋"/>
                <w:color w:val="auto"/>
                <w:kern w:val="0"/>
                <w:sz w:val="24"/>
                <w:szCs w:val="24"/>
                <w:highlight w:val="none"/>
              </w:rPr>
            </w:pPr>
          </w:p>
        </w:tc>
        <w:tc>
          <w:tcPr>
            <w:tcW w:w="879" w:type="dxa"/>
            <w:vMerge w:val="continue"/>
            <w:vAlign w:val="center"/>
          </w:tcPr>
          <w:p>
            <w:pPr>
              <w:jc w:val="center"/>
              <w:rPr>
                <w:rFonts w:hint="eastAsia" w:ascii="仿宋" w:hAnsi="仿宋" w:eastAsia="仿宋" w:cs="仿宋"/>
                <w:color w:val="auto"/>
                <w:kern w:val="0"/>
                <w:sz w:val="24"/>
                <w:szCs w:val="24"/>
                <w:highlight w:val="none"/>
                <w:u w:val="single"/>
              </w:rPr>
            </w:pPr>
          </w:p>
        </w:tc>
        <w:tc>
          <w:tcPr>
            <w:tcW w:w="1133" w:type="dxa"/>
            <w:vMerge w:val="continue"/>
            <w:shd w:val="clear" w:color="auto" w:fill="auto"/>
            <w:vAlign w:val="center"/>
          </w:tcPr>
          <w:p>
            <w:pPr>
              <w:jc w:val="center"/>
              <w:rPr>
                <w:rFonts w:hint="eastAsia" w:ascii="仿宋" w:hAnsi="仿宋" w:eastAsia="仿宋" w:cs="仿宋"/>
                <w:color w:val="auto"/>
                <w:kern w:val="0"/>
                <w:sz w:val="24"/>
                <w:szCs w:val="24"/>
                <w:highlight w:val="none"/>
              </w:rPr>
            </w:pPr>
          </w:p>
        </w:tc>
        <w:tc>
          <w:tcPr>
            <w:tcW w:w="1734" w:type="dxa"/>
            <w:vMerge w:val="continue"/>
            <w:shd w:val="clear" w:color="auto" w:fill="auto"/>
            <w:vAlign w:val="center"/>
          </w:tcPr>
          <w:p>
            <w:pPr>
              <w:jc w:val="center"/>
              <w:rPr>
                <w:rFonts w:hint="eastAsia" w:ascii="仿宋" w:hAnsi="仿宋" w:eastAsia="仿宋" w:cs="仿宋"/>
                <w:color w:val="auto"/>
                <w:kern w:val="0"/>
                <w:sz w:val="24"/>
                <w:szCs w:val="24"/>
                <w:highlight w:val="none"/>
              </w:rPr>
            </w:pPr>
          </w:p>
        </w:tc>
        <w:tc>
          <w:tcPr>
            <w:tcW w:w="2096" w:type="dxa"/>
            <w:vMerge w:val="continue"/>
            <w:shd w:val="clear" w:color="auto" w:fill="auto"/>
            <w:vAlign w:val="center"/>
          </w:tcPr>
          <w:p>
            <w:pPr>
              <w:jc w:val="center"/>
              <w:rPr>
                <w:rFonts w:hint="eastAsia" w:ascii="仿宋" w:hAnsi="仿宋" w:eastAsia="仿宋" w:cs="仿宋"/>
                <w:color w:val="auto"/>
                <w:kern w:val="0"/>
                <w:sz w:val="24"/>
                <w:szCs w:val="24"/>
                <w:highlight w:val="none"/>
              </w:rPr>
            </w:pPr>
          </w:p>
        </w:tc>
        <w:tc>
          <w:tcPr>
            <w:tcW w:w="1068" w:type="dxa"/>
            <w:vMerge w:val="continue"/>
            <w:shd w:val="clear" w:color="auto" w:fill="auto"/>
            <w:vAlign w:val="center"/>
          </w:tcPr>
          <w:p>
            <w:pPr>
              <w:jc w:val="center"/>
              <w:rPr>
                <w:rFonts w:hint="eastAsia" w:ascii="仿宋" w:hAnsi="仿宋" w:eastAsia="仿宋" w:cs="仿宋"/>
                <w:color w:val="auto"/>
                <w:kern w:val="0"/>
                <w:sz w:val="24"/>
                <w:szCs w:val="24"/>
                <w:highlight w:val="none"/>
              </w:rPr>
            </w:pPr>
          </w:p>
        </w:tc>
      </w:tr>
    </w:tbl>
    <w:p>
      <w:pPr>
        <w:pStyle w:val="19"/>
        <w:ind w:left="-357" w:leftChars="-170" w:firstLine="440"/>
        <w:jc w:val="left"/>
        <w:outlineLvl w:val="0"/>
        <w:rPr>
          <w:rFonts w:hint="eastAsia" w:ascii="仿宋" w:hAnsi="仿宋" w:eastAsia="仿宋" w:cs="仿宋"/>
          <w:color w:val="auto"/>
          <w:sz w:val="24"/>
          <w:szCs w:val="24"/>
          <w:highlight w:val="none"/>
        </w:rPr>
      </w:pPr>
      <w:bookmarkStart w:id="0" w:name="商务初评模板"/>
      <w:r>
        <w:rPr>
          <w:rFonts w:hint="eastAsia" w:ascii="仿宋" w:hAnsi="仿宋" w:eastAsia="仿宋" w:cs="仿宋"/>
          <w:color w:val="auto"/>
          <w:sz w:val="24"/>
          <w:szCs w:val="24"/>
          <w:highlight w:val="none"/>
        </w:rPr>
        <w:t>具体供货不局限于上述产品。应包括上述产品相关配件，类似升级产品。</w:t>
      </w:r>
    </w:p>
    <w:bookmarkEnd w:id="0"/>
    <w:p>
      <w:pPr>
        <w:pStyle w:val="19"/>
        <w:ind w:left="-357" w:leftChars="-170" w:firstLine="440"/>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1.取得《国家电网有限公司集中规模招标采购供应商资质能力核实证明》或《国网智能科技股份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19"/>
        <w:ind w:left="-357" w:leftChars="-170" w:firstLine="440"/>
        <w:jc w:val="left"/>
        <w:outlineLvl w:val="0"/>
        <w:rPr>
          <w:rFonts w:hint="eastAsia" w:ascii="仿宋" w:hAnsi="仿宋" w:eastAsia="仿宋" w:cs="仿宋"/>
          <w:b w:val="0"/>
          <w:bCs w:val="0"/>
          <w:color w:val="auto"/>
          <w:kern w:val="0"/>
          <w:sz w:val="24"/>
          <w:szCs w:val="24"/>
          <w:highlight w:val="none"/>
        </w:rPr>
      </w:pPr>
      <w:r>
        <w:rPr>
          <w:rFonts w:hint="eastAsia" w:ascii="仿宋" w:hAnsi="仿宋" w:eastAsia="仿宋" w:cs="仿宋"/>
          <w:color w:val="auto"/>
          <w:sz w:val="24"/>
          <w:szCs w:val="24"/>
          <w:highlight w:val="none"/>
        </w:rPr>
        <w:t>2.投标文件中提供的证明材料复印件应复印清晰、可辨认且不得遮盖、涂抹，否则视为无效。</w:t>
      </w: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xZmNjZWIzOTRmZDljNThkZGEwZWVhMDVlMTNhNjcifQ=="/>
    <w:docVar w:name="KSO_WPS_MARK_KEY" w:val="8eee2dc2-f4fa-41e6-b04b-776781f5929a"/>
  </w:docVars>
  <w:rsids>
    <w:rsidRoot w:val="00090E29"/>
    <w:rsid w:val="00090E29"/>
    <w:rsid w:val="00096144"/>
    <w:rsid w:val="000C018A"/>
    <w:rsid w:val="0013644E"/>
    <w:rsid w:val="001855CA"/>
    <w:rsid w:val="003266DE"/>
    <w:rsid w:val="003F2197"/>
    <w:rsid w:val="0050209C"/>
    <w:rsid w:val="00546C4D"/>
    <w:rsid w:val="0056369E"/>
    <w:rsid w:val="006004F0"/>
    <w:rsid w:val="00611B0C"/>
    <w:rsid w:val="006B5136"/>
    <w:rsid w:val="006D1C5C"/>
    <w:rsid w:val="007A0757"/>
    <w:rsid w:val="007D28B6"/>
    <w:rsid w:val="008B14B2"/>
    <w:rsid w:val="008B7C97"/>
    <w:rsid w:val="008E1E8A"/>
    <w:rsid w:val="008E369A"/>
    <w:rsid w:val="00B93A79"/>
    <w:rsid w:val="00BA7EA8"/>
    <w:rsid w:val="00C80E50"/>
    <w:rsid w:val="00D16E51"/>
    <w:rsid w:val="00D4130D"/>
    <w:rsid w:val="00D65A7A"/>
    <w:rsid w:val="00DA55CC"/>
    <w:rsid w:val="00E16677"/>
    <w:rsid w:val="00EE78CF"/>
    <w:rsid w:val="00F151A4"/>
    <w:rsid w:val="00F25139"/>
    <w:rsid w:val="00F56925"/>
    <w:rsid w:val="014043A2"/>
    <w:rsid w:val="01C46A49"/>
    <w:rsid w:val="03AE5E0E"/>
    <w:rsid w:val="04FC416D"/>
    <w:rsid w:val="056A1771"/>
    <w:rsid w:val="06816373"/>
    <w:rsid w:val="0876413A"/>
    <w:rsid w:val="089F22C8"/>
    <w:rsid w:val="0906460D"/>
    <w:rsid w:val="091E3A91"/>
    <w:rsid w:val="09E04429"/>
    <w:rsid w:val="0A3001E0"/>
    <w:rsid w:val="0AB37329"/>
    <w:rsid w:val="0B6D73F9"/>
    <w:rsid w:val="0BC04CF3"/>
    <w:rsid w:val="0BD91152"/>
    <w:rsid w:val="0CDB468D"/>
    <w:rsid w:val="0DB95E90"/>
    <w:rsid w:val="0EA12E42"/>
    <w:rsid w:val="0F0570EE"/>
    <w:rsid w:val="0F2134B8"/>
    <w:rsid w:val="0F853369"/>
    <w:rsid w:val="0FB1516E"/>
    <w:rsid w:val="10077210"/>
    <w:rsid w:val="11745D3C"/>
    <w:rsid w:val="11FC0675"/>
    <w:rsid w:val="146D2DFE"/>
    <w:rsid w:val="14BD7815"/>
    <w:rsid w:val="14EE61CB"/>
    <w:rsid w:val="1539292A"/>
    <w:rsid w:val="167F68EE"/>
    <w:rsid w:val="169A6592"/>
    <w:rsid w:val="17C76F5B"/>
    <w:rsid w:val="183F7C42"/>
    <w:rsid w:val="19F57C86"/>
    <w:rsid w:val="1B224D55"/>
    <w:rsid w:val="1B3B1EBB"/>
    <w:rsid w:val="1BCA56F4"/>
    <w:rsid w:val="1BD229BC"/>
    <w:rsid w:val="1D514BA0"/>
    <w:rsid w:val="1EF10925"/>
    <w:rsid w:val="203577BE"/>
    <w:rsid w:val="20373F93"/>
    <w:rsid w:val="22966BB0"/>
    <w:rsid w:val="22D20AD3"/>
    <w:rsid w:val="246A6564"/>
    <w:rsid w:val="26C9733C"/>
    <w:rsid w:val="26D04D02"/>
    <w:rsid w:val="27E6353A"/>
    <w:rsid w:val="283F1CD8"/>
    <w:rsid w:val="2894561A"/>
    <w:rsid w:val="28D36EDA"/>
    <w:rsid w:val="2910361F"/>
    <w:rsid w:val="29E71C19"/>
    <w:rsid w:val="2A6C66B0"/>
    <w:rsid w:val="2B7E4049"/>
    <w:rsid w:val="2BAE3592"/>
    <w:rsid w:val="2C5C438C"/>
    <w:rsid w:val="2D1A547B"/>
    <w:rsid w:val="308B1E37"/>
    <w:rsid w:val="31BA0B13"/>
    <w:rsid w:val="32580053"/>
    <w:rsid w:val="32F0076D"/>
    <w:rsid w:val="32F60393"/>
    <w:rsid w:val="33DB0308"/>
    <w:rsid w:val="344E7D48"/>
    <w:rsid w:val="34772245"/>
    <w:rsid w:val="35A4703C"/>
    <w:rsid w:val="36A81F19"/>
    <w:rsid w:val="36CA60B6"/>
    <w:rsid w:val="376F090C"/>
    <w:rsid w:val="37AF7C77"/>
    <w:rsid w:val="38B81CA1"/>
    <w:rsid w:val="3A910FF4"/>
    <w:rsid w:val="3B0E674D"/>
    <w:rsid w:val="3B1F79D9"/>
    <w:rsid w:val="3B9138B1"/>
    <w:rsid w:val="3C4E257E"/>
    <w:rsid w:val="3CC36B3B"/>
    <w:rsid w:val="3CCF6B42"/>
    <w:rsid w:val="3E114028"/>
    <w:rsid w:val="3FB31195"/>
    <w:rsid w:val="40307062"/>
    <w:rsid w:val="405979E4"/>
    <w:rsid w:val="414A61A9"/>
    <w:rsid w:val="416B26FA"/>
    <w:rsid w:val="424431C6"/>
    <w:rsid w:val="439E6864"/>
    <w:rsid w:val="43E01DD0"/>
    <w:rsid w:val="446245CF"/>
    <w:rsid w:val="45502443"/>
    <w:rsid w:val="455B308D"/>
    <w:rsid w:val="462E7CF2"/>
    <w:rsid w:val="476A5954"/>
    <w:rsid w:val="48DF58ED"/>
    <w:rsid w:val="494C2758"/>
    <w:rsid w:val="494E09BC"/>
    <w:rsid w:val="49721EC3"/>
    <w:rsid w:val="49A858B7"/>
    <w:rsid w:val="4A87279D"/>
    <w:rsid w:val="4B6A1A87"/>
    <w:rsid w:val="4BDB43AD"/>
    <w:rsid w:val="4D444125"/>
    <w:rsid w:val="4DB36D12"/>
    <w:rsid w:val="4E0711EB"/>
    <w:rsid w:val="4F6858D7"/>
    <w:rsid w:val="4F70583A"/>
    <w:rsid w:val="507846AA"/>
    <w:rsid w:val="51427D66"/>
    <w:rsid w:val="52513C34"/>
    <w:rsid w:val="53791460"/>
    <w:rsid w:val="54216585"/>
    <w:rsid w:val="54980EB6"/>
    <w:rsid w:val="54E95C72"/>
    <w:rsid w:val="55656F9E"/>
    <w:rsid w:val="557F4DE1"/>
    <w:rsid w:val="55A579A1"/>
    <w:rsid w:val="55F54C7D"/>
    <w:rsid w:val="568B6C91"/>
    <w:rsid w:val="56B46D29"/>
    <w:rsid w:val="57857FF7"/>
    <w:rsid w:val="58765B48"/>
    <w:rsid w:val="5AC040F1"/>
    <w:rsid w:val="5ADB6725"/>
    <w:rsid w:val="5C263591"/>
    <w:rsid w:val="5C2D449E"/>
    <w:rsid w:val="5C3E77E9"/>
    <w:rsid w:val="5CDC1B37"/>
    <w:rsid w:val="5DA22CDF"/>
    <w:rsid w:val="5EC86D9B"/>
    <w:rsid w:val="5F9C524B"/>
    <w:rsid w:val="5FF27BF4"/>
    <w:rsid w:val="60A05C01"/>
    <w:rsid w:val="60E859F0"/>
    <w:rsid w:val="62922A0B"/>
    <w:rsid w:val="632B03E5"/>
    <w:rsid w:val="633B3238"/>
    <w:rsid w:val="63400718"/>
    <w:rsid w:val="635B58CF"/>
    <w:rsid w:val="65731BB8"/>
    <w:rsid w:val="65870405"/>
    <w:rsid w:val="659F3FA8"/>
    <w:rsid w:val="65D753CD"/>
    <w:rsid w:val="676906D7"/>
    <w:rsid w:val="68E967E2"/>
    <w:rsid w:val="69481F1D"/>
    <w:rsid w:val="6AE94418"/>
    <w:rsid w:val="6B0033F1"/>
    <w:rsid w:val="6B6E095E"/>
    <w:rsid w:val="6CF1193D"/>
    <w:rsid w:val="6D1822F8"/>
    <w:rsid w:val="6E02003D"/>
    <w:rsid w:val="6E02774C"/>
    <w:rsid w:val="6E1718FD"/>
    <w:rsid w:val="6F654A89"/>
    <w:rsid w:val="7014228B"/>
    <w:rsid w:val="702D53B9"/>
    <w:rsid w:val="703525D6"/>
    <w:rsid w:val="72CA25D7"/>
    <w:rsid w:val="735E7233"/>
    <w:rsid w:val="74901CC6"/>
    <w:rsid w:val="74BC40BA"/>
    <w:rsid w:val="75FF703D"/>
    <w:rsid w:val="76475D36"/>
    <w:rsid w:val="768176EC"/>
    <w:rsid w:val="77F03460"/>
    <w:rsid w:val="78305C20"/>
    <w:rsid w:val="786E1F54"/>
    <w:rsid w:val="78E00C4B"/>
    <w:rsid w:val="79285B16"/>
    <w:rsid w:val="7A387BE2"/>
    <w:rsid w:val="7AF431F7"/>
    <w:rsid w:val="7B3A67BA"/>
    <w:rsid w:val="7C071D5E"/>
    <w:rsid w:val="7C0A0245"/>
    <w:rsid w:val="7C1E0984"/>
    <w:rsid w:val="7C404AB6"/>
    <w:rsid w:val="7D0A606C"/>
    <w:rsid w:val="7DF050B2"/>
    <w:rsid w:val="7EC421EB"/>
    <w:rsid w:val="7EE54684"/>
    <w:rsid w:val="7FF868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5"/>
    <w:autoRedefine/>
    <w:qFormat/>
    <w:uiPriority w:val="0"/>
    <w:pPr>
      <w:jc w:val="center"/>
      <w:outlineLvl w:val="0"/>
    </w:pPr>
    <w:rPr>
      <w:b/>
      <w:kern w:val="44"/>
      <w:sz w:val="44"/>
    </w:rPr>
  </w:style>
  <w:style w:type="paragraph" w:styleId="4">
    <w:name w:val="heading 2"/>
    <w:basedOn w:val="1"/>
    <w:next w:val="1"/>
    <w:autoRedefine/>
    <w:qFormat/>
    <w:uiPriority w:val="0"/>
    <w:pPr>
      <w:keepNext/>
      <w:keepLines/>
      <w:topLinePunct/>
      <w:adjustRightInd w:val="0"/>
      <w:snapToGrid w:val="0"/>
      <w:spacing w:beforeLines="80" w:afterLines="80"/>
      <w:outlineLvl w:val="1"/>
    </w:pPr>
    <w:rPr>
      <w:rFonts w:ascii="Arial" w:hAnsi="Arial" w:eastAsia="黑体"/>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5">
    <w:name w:val="Normal Indent"/>
    <w:basedOn w:val="1"/>
    <w:next w:val="1"/>
    <w:qFormat/>
    <w:uiPriority w:val="0"/>
    <w:pPr>
      <w:ind w:firstLine="420"/>
    </w:pPr>
  </w:style>
  <w:style w:type="paragraph" w:styleId="6">
    <w:name w:val="Balloon Text"/>
    <w:basedOn w:val="1"/>
    <w:link w:val="18"/>
    <w:autoRedefine/>
    <w:semiHidden/>
    <w:unhideWhenUsed/>
    <w:qFormat/>
    <w:uiPriority w:val="99"/>
    <w:rPr>
      <w:sz w:val="18"/>
      <w:szCs w:val="18"/>
    </w:rPr>
  </w:style>
  <w:style w:type="paragraph" w:styleId="7">
    <w:name w:val="footer"/>
    <w:basedOn w:val="1"/>
    <w:link w:val="14"/>
    <w:autoRedefine/>
    <w:unhideWhenUsed/>
    <w:qFormat/>
    <w:uiPriority w:val="99"/>
    <w:pPr>
      <w:tabs>
        <w:tab w:val="center" w:pos="4153"/>
        <w:tab w:val="right" w:pos="8306"/>
      </w:tabs>
      <w:snapToGrid w:val="0"/>
      <w:jc w:val="left"/>
    </w:pPr>
    <w:rPr>
      <w:sz w:val="18"/>
      <w:szCs w:val="18"/>
    </w:rPr>
  </w:style>
  <w:style w:type="paragraph" w:styleId="8">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2">
    <w:name w:val="Hyperlink"/>
    <w:autoRedefine/>
    <w:qFormat/>
    <w:uiPriority w:val="99"/>
    <w:rPr>
      <w:color w:val="0000FF"/>
      <w:u w:val="single"/>
    </w:rPr>
  </w:style>
  <w:style w:type="character" w:customStyle="1" w:styleId="13">
    <w:name w:val="页眉 Char"/>
    <w:basedOn w:val="11"/>
    <w:link w:val="8"/>
    <w:autoRedefine/>
    <w:qFormat/>
    <w:uiPriority w:val="99"/>
    <w:rPr>
      <w:sz w:val="18"/>
      <w:szCs w:val="18"/>
    </w:rPr>
  </w:style>
  <w:style w:type="character" w:customStyle="1" w:styleId="14">
    <w:name w:val="页脚 Char"/>
    <w:basedOn w:val="11"/>
    <w:link w:val="7"/>
    <w:autoRedefine/>
    <w:qFormat/>
    <w:uiPriority w:val="99"/>
    <w:rPr>
      <w:sz w:val="18"/>
      <w:szCs w:val="18"/>
    </w:rPr>
  </w:style>
  <w:style w:type="character" w:customStyle="1" w:styleId="15">
    <w:name w:val="标题 1 Char"/>
    <w:basedOn w:val="11"/>
    <w:link w:val="3"/>
    <w:autoRedefine/>
    <w:qFormat/>
    <w:uiPriority w:val="0"/>
    <w:rPr>
      <w:rFonts w:ascii="Times New Roman" w:hAnsi="Times New Roman" w:eastAsia="宋体" w:cs="Times New Roman"/>
      <w:b/>
      <w:kern w:val="44"/>
      <w:sz w:val="44"/>
      <w:szCs w:val="20"/>
    </w:rPr>
  </w:style>
  <w:style w:type="paragraph" w:customStyle="1" w:styleId="16">
    <w:name w:val="本文正文"/>
    <w:basedOn w:val="1"/>
    <w:autoRedefine/>
    <w:qFormat/>
    <w:uiPriority w:val="0"/>
    <w:pPr>
      <w:tabs>
        <w:tab w:val="left" w:pos="630"/>
      </w:tabs>
      <w:topLinePunct/>
      <w:adjustRightInd w:val="0"/>
      <w:spacing w:line="360" w:lineRule="exact"/>
    </w:pPr>
    <w:rPr>
      <w:color w:val="000000"/>
    </w:rPr>
  </w:style>
  <w:style w:type="paragraph" w:customStyle="1" w:styleId="17">
    <w:name w:val="Normal_1"/>
    <w:autoRedefine/>
    <w:qFormat/>
    <w:uiPriority w:val="0"/>
    <w:pPr>
      <w:widowControl w:val="0"/>
      <w:jc w:val="both"/>
    </w:pPr>
    <w:rPr>
      <w:rFonts w:ascii="Times New Roman" w:hAnsi="Times New Roman" w:eastAsia="宋体" w:cs="Times New Roman"/>
      <w:lang w:val="en-US" w:eastAsia="zh-CN" w:bidi="ar-SA"/>
    </w:rPr>
  </w:style>
  <w:style w:type="character" w:customStyle="1" w:styleId="18">
    <w:name w:val="批注框文本 Char"/>
    <w:basedOn w:val="11"/>
    <w:link w:val="6"/>
    <w:autoRedefine/>
    <w:semiHidden/>
    <w:qFormat/>
    <w:uiPriority w:val="99"/>
    <w:rPr>
      <w:kern w:val="2"/>
      <w:sz w:val="18"/>
      <w:szCs w:val="18"/>
    </w:rPr>
  </w:style>
  <w:style w:type="paragraph" w:styleId="19">
    <w:name w:val="List Paragraph"/>
    <w:basedOn w:val="1"/>
    <w:qFormat/>
    <w:uiPriority w:val="72"/>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3555</Words>
  <Characters>4002</Characters>
  <Lines>28</Lines>
  <Paragraphs>8</Paragraphs>
  <TotalTime>0</TotalTime>
  <ScaleCrop>false</ScaleCrop>
  <LinksUpToDate>false</LinksUpToDate>
  <CharactersWithSpaces>4023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2021-02-01T07:32:00Z</dcterms:created>
  <dc:creator>CX2020111</dc:creator>
  <cp:lastModifiedBy>企业用户_290563381</cp:lastModifiedBy>
  <dcterms:modified xsi:type="dcterms:W3CDTF">2024-05-22T13:14:54Z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4150002D49974B16A2570ADDBCA0C7C6_13</vt:lpwstr>
  </property>
</Properties>
</file>