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rPr>
          <w:rFonts w:hint="eastAsia" w:ascii="仿宋" w:hAnsi="仿宋" w:eastAsia="仿宋" w:cs="仿宋"/>
          <w:b w:val="0"/>
          <w:bCs w:val="0"/>
          <w:color w:val="auto"/>
          <w:sz w:val="24"/>
          <w:szCs w:val="24"/>
          <w:highlight w:val="none"/>
        </w:rPr>
      </w:pPr>
      <w:bookmarkStart w:id="1" w:name="_GoBack"/>
      <w:bookmarkEnd w:id="1"/>
      <w:r>
        <w:rPr>
          <w:rFonts w:hint="eastAsia" w:ascii="仿宋" w:hAnsi="仿宋" w:eastAsia="仿宋" w:cs="仿宋"/>
          <w:b w:val="0"/>
          <w:bCs w:val="0"/>
          <w:color w:val="auto"/>
          <w:sz w:val="24"/>
          <w:szCs w:val="24"/>
          <w:highlight w:val="none"/>
        </w:rPr>
        <w:t>附件1   招标需求一览表</w:t>
      </w:r>
    </w:p>
    <w:tbl>
      <w:tblPr>
        <w:tblStyle w:val="8"/>
        <w:tblW w:w="133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42"/>
        <w:gridCol w:w="3255"/>
        <w:gridCol w:w="588"/>
        <w:gridCol w:w="554"/>
        <w:gridCol w:w="635"/>
        <w:gridCol w:w="738"/>
        <w:gridCol w:w="716"/>
        <w:gridCol w:w="1223"/>
        <w:gridCol w:w="2019"/>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7" w:hRule="atLeast"/>
          <w:jc w:val="center"/>
        </w:trPr>
        <w:tc>
          <w:tcPr>
            <w:tcW w:w="1273" w:type="dxa"/>
            <w:vAlign w:val="center"/>
          </w:tcPr>
          <w:p>
            <w:pPr>
              <w:widowControl/>
              <w:jc w:val="center"/>
              <w:rPr>
                <w:rFonts w:hint="eastAsia" w:ascii="仿宋" w:hAnsi="仿宋" w:eastAsia="仿宋" w:cs="仿宋"/>
                <w:b/>
                <w:bCs/>
                <w:color w:val="000000" w:themeColor="text1"/>
                <w:kern w:val="0"/>
                <w:sz w:val="24"/>
                <w:szCs w:val="24"/>
                <w:highlight w:val="none"/>
              </w:rPr>
            </w:pPr>
            <w:bookmarkStart w:id="0" w:name="商务初评模板"/>
            <w:r>
              <w:rPr>
                <w:rFonts w:hint="eastAsia" w:ascii="仿宋" w:hAnsi="仿宋" w:eastAsia="仿宋" w:cs="仿宋"/>
                <w:b/>
                <w:bCs/>
                <w:color w:val="000000" w:themeColor="text1"/>
                <w:kern w:val="0"/>
                <w:sz w:val="24"/>
                <w:szCs w:val="24"/>
                <w:highlight w:val="none"/>
              </w:rPr>
              <w:t>项目名称</w:t>
            </w:r>
          </w:p>
        </w:tc>
        <w:tc>
          <w:tcPr>
            <w:tcW w:w="1142" w:type="dxa"/>
            <w:shd w:val="clear" w:color="auto" w:fill="auto"/>
            <w:vAlign w:val="center"/>
          </w:tcPr>
          <w:p>
            <w:pPr>
              <w:widowControl/>
              <w:jc w:val="center"/>
              <w:rPr>
                <w:rFonts w:hint="eastAsia" w:ascii="仿宋" w:hAnsi="仿宋" w:eastAsia="仿宋" w:cs="仿宋"/>
                <w:b/>
                <w:bCs/>
                <w:color w:val="000000" w:themeColor="text1"/>
                <w:kern w:val="0"/>
                <w:sz w:val="24"/>
                <w:szCs w:val="24"/>
                <w:highlight w:val="none"/>
              </w:rPr>
            </w:pPr>
            <w:r>
              <w:rPr>
                <w:rFonts w:hint="eastAsia" w:ascii="仿宋" w:hAnsi="仿宋" w:eastAsia="仿宋" w:cs="仿宋"/>
                <w:b/>
                <w:bCs/>
                <w:color w:val="000000" w:themeColor="text1"/>
                <w:kern w:val="0"/>
                <w:sz w:val="24"/>
                <w:szCs w:val="24"/>
                <w:highlight w:val="none"/>
              </w:rPr>
              <w:t>物资名称</w:t>
            </w:r>
          </w:p>
        </w:tc>
        <w:tc>
          <w:tcPr>
            <w:tcW w:w="3255" w:type="dxa"/>
            <w:shd w:val="clear" w:color="auto" w:fill="auto"/>
            <w:vAlign w:val="center"/>
          </w:tcPr>
          <w:p>
            <w:pPr>
              <w:widowControl/>
              <w:jc w:val="center"/>
              <w:rPr>
                <w:rFonts w:hint="eastAsia" w:ascii="仿宋" w:hAnsi="仿宋" w:eastAsia="仿宋" w:cs="仿宋"/>
                <w:b/>
                <w:bCs/>
                <w:color w:val="000000" w:themeColor="text1"/>
                <w:kern w:val="0"/>
                <w:sz w:val="24"/>
                <w:szCs w:val="24"/>
                <w:highlight w:val="none"/>
              </w:rPr>
            </w:pPr>
            <w:r>
              <w:rPr>
                <w:rFonts w:hint="eastAsia" w:ascii="仿宋" w:hAnsi="仿宋" w:eastAsia="仿宋" w:cs="仿宋"/>
                <w:b/>
                <w:bCs/>
                <w:color w:val="000000" w:themeColor="text1"/>
                <w:kern w:val="0"/>
                <w:sz w:val="24"/>
                <w:szCs w:val="24"/>
                <w:highlight w:val="none"/>
              </w:rPr>
              <w:t>主要技术要求</w:t>
            </w:r>
          </w:p>
        </w:tc>
        <w:tc>
          <w:tcPr>
            <w:tcW w:w="588" w:type="dxa"/>
            <w:shd w:val="clear" w:color="auto" w:fill="auto"/>
            <w:vAlign w:val="center"/>
          </w:tcPr>
          <w:p>
            <w:pPr>
              <w:widowControl/>
              <w:jc w:val="center"/>
              <w:rPr>
                <w:rFonts w:hint="eastAsia" w:ascii="仿宋" w:hAnsi="仿宋" w:eastAsia="仿宋" w:cs="仿宋"/>
                <w:b/>
                <w:bCs/>
                <w:color w:val="000000" w:themeColor="text1"/>
                <w:kern w:val="0"/>
                <w:sz w:val="24"/>
                <w:szCs w:val="24"/>
                <w:highlight w:val="none"/>
              </w:rPr>
            </w:pPr>
            <w:r>
              <w:rPr>
                <w:rFonts w:hint="eastAsia" w:ascii="仿宋" w:hAnsi="仿宋" w:eastAsia="仿宋" w:cs="仿宋"/>
                <w:b/>
                <w:bCs/>
                <w:color w:val="000000" w:themeColor="text1"/>
                <w:kern w:val="0"/>
                <w:sz w:val="24"/>
                <w:szCs w:val="24"/>
                <w:highlight w:val="none"/>
              </w:rPr>
              <w:t>单位</w:t>
            </w:r>
          </w:p>
        </w:tc>
        <w:tc>
          <w:tcPr>
            <w:tcW w:w="554" w:type="dxa"/>
            <w:shd w:val="clear" w:color="auto" w:fill="auto"/>
            <w:vAlign w:val="center"/>
          </w:tcPr>
          <w:p>
            <w:pPr>
              <w:widowControl/>
              <w:jc w:val="center"/>
              <w:rPr>
                <w:rFonts w:hint="eastAsia" w:ascii="仿宋" w:hAnsi="仿宋" w:eastAsia="仿宋" w:cs="仿宋"/>
                <w:b/>
                <w:bCs/>
                <w:color w:val="000000" w:themeColor="text1"/>
                <w:kern w:val="0"/>
                <w:sz w:val="24"/>
                <w:szCs w:val="24"/>
                <w:highlight w:val="none"/>
              </w:rPr>
            </w:pPr>
            <w:r>
              <w:rPr>
                <w:rFonts w:hint="eastAsia" w:ascii="仿宋" w:hAnsi="仿宋" w:eastAsia="仿宋" w:cs="仿宋"/>
                <w:b/>
                <w:bCs/>
                <w:color w:val="000000" w:themeColor="text1"/>
                <w:kern w:val="0"/>
                <w:sz w:val="24"/>
                <w:szCs w:val="24"/>
                <w:highlight w:val="none"/>
              </w:rPr>
              <w:t>数量</w:t>
            </w:r>
          </w:p>
        </w:tc>
        <w:tc>
          <w:tcPr>
            <w:tcW w:w="635" w:type="dxa"/>
            <w:shd w:val="clear" w:color="auto" w:fill="auto"/>
            <w:vAlign w:val="center"/>
          </w:tcPr>
          <w:p>
            <w:pPr>
              <w:widowControl/>
              <w:jc w:val="center"/>
              <w:rPr>
                <w:rFonts w:hint="eastAsia" w:ascii="仿宋" w:hAnsi="仿宋" w:eastAsia="仿宋" w:cs="仿宋"/>
                <w:b/>
                <w:bCs/>
                <w:color w:val="000000" w:themeColor="text1"/>
                <w:kern w:val="0"/>
                <w:sz w:val="24"/>
                <w:szCs w:val="24"/>
                <w:highlight w:val="none"/>
              </w:rPr>
            </w:pPr>
            <w:r>
              <w:rPr>
                <w:rFonts w:hint="eastAsia" w:ascii="仿宋" w:hAnsi="仿宋" w:eastAsia="仿宋" w:cs="仿宋"/>
                <w:b/>
                <w:bCs/>
                <w:color w:val="000000" w:themeColor="text1"/>
                <w:kern w:val="0"/>
                <w:sz w:val="24"/>
                <w:szCs w:val="24"/>
                <w:highlight w:val="none"/>
              </w:rPr>
              <w:t>交货日期</w:t>
            </w:r>
          </w:p>
        </w:tc>
        <w:tc>
          <w:tcPr>
            <w:tcW w:w="738" w:type="dxa"/>
            <w:vAlign w:val="center"/>
          </w:tcPr>
          <w:p>
            <w:pPr>
              <w:widowControl/>
              <w:jc w:val="center"/>
              <w:rPr>
                <w:rFonts w:hint="eastAsia" w:ascii="仿宋" w:hAnsi="仿宋" w:eastAsia="仿宋" w:cs="仿宋"/>
                <w:b/>
                <w:bCs/>
                <w:color w:val="000000" w:themeColor="text1"/>
                <w:kern w:val="0"/>
                <w:sz w:val="24"/>
                <w:szCs w:val="24"/>
                <w:highlight w:val="none"/>
              </w:rPr>
            </w:pPr>
            <w:r>
              <w:rPr>
                <w:rFonts w:hint="eastAsia" w:ascii="仿宋" w:hAnsi="仿宋" w:eastAsia="仿宋" w:cs="仿宋"/>
                <w:b/>
                <w:bCs/>
                <w:color w:val="000000" w:themeColor="text1"/>
                <w:kern w:val="0"/>
                <w:sz w:val="24"/>
                <w:szCs w:val="24"/>
                <w:highlight w:val="none"/>
              </w:rPr>
              <w:t>质保期（不低于）</w:t>
            </w:r>
          </w:p>
        </w:tc>
        <w:tc>
          <w:tcPr>
            <w:tcW w:w="716" w:type="dxa"/>
            <w:shd w:val="clear" w:color="auto" w:fill="auto"/>
            <w:vAlign w:val="center"/>
          </w:tcPr>
          <w:p>
            <w:pPr>
              <w:widowControl/>
              <w:jc w:val="center"/>
              <w:rPr>
                <w:rFonts w:hint="eastAsia" w:ascii="仿宋" w:hAnsi="仿宋" w:eastAsia="仿宋" w:cs="仿宋"/>
                <w:b/>
                <w:bCs/>
                <w:color w:val="000000" w:themeColor="text1"/>
                <w:kern w:val="0"/>
                <w:sz w:val="24"/>
                <w:szCs w:val="24"/>
                <w:highlight w:val="none"/>
              </w:rPr>
            </w:pPr>
            <w:r>
              <w:rPr>
                <w:rFonts w:hint="eastAsia" w:ascii="仿宋" w:hAnsi="仿宋" w:eastAsia="仿宋" w:cs="仿宋"/>
                <w:b/>
                <w:bCs/>
                <w:color w:val="000000" w:themeColor="text1"/>
                <w:kern w:val="0"/>
                <w:sz w:val="24"/>
                <w:szCs w:val="24"/>
                <w:highlight w:val="none"/>
              </w:rPr>
              <w:t>交货地点</w:t>
            </w:r>
          </w:p>
        </w:tc>
        <w:tc>
          <w:tcPr>
            <w:tcW w:w="1223" w:type="dxa"/>
            <w:shd w:val="clear" w:color="auto" w:fill="auto"/>
            <w:vAlign w:val="center"/>
          </w:tcPr>
          <w:p>
            <w:pPr>
              <w:widowControl/>
              <w:jc w:val="center"/>
              <w:rPr>
                <w:rFonts w:hint="eastAsia" w:ascii="仿宋" w:hAnsi="仿宋" w:eastAsia="仿宋" w:cs="仿宋"/>
                <w:b/>
                <w:bCs/>
                <w:color w:val="000000" w:themeColor="text1"/>
                <w:kern w:val="0"/>
                <w:sz w:val="24"/>
                <w:szCs w:val="24"/>
                <w:highlight w:val="none"/>
              </w:rPr>
            </w:pPr>
            <w:r>
              <w:rPr>
                <w:rFonts w:hint="eastAsia" w:ascii="仿宋" w:hAnsi="仿宋" w:eastAsia="仿宋" w:cs="仿宋"/>
                <w:b/>
                <w:bCs/>
                <w:color w:val="000000" w:themeColor="text1"/>
                <w:kern w:val="0"/>
                <w:sz w:val="24"/>
                <w:szCs w:val="24"/>
                <w:highlight w:val="none"/>
              </w:rPr>
              <w:t>专用资质要求</w:t>
            </w:r>
          </w:p>
        </w:tc>
        <w:tc>
          <w:tcPr>
            <w:tcW w:w="2019" w:type="dxa"/>
            <w:shd w:val="clear" w:color="auto" w:fill="auto"/>
            <w:vAlign w:val="center"/>
          </w:tcPr>
          <w:p>
            <w:pPr>
              <w:widowControl/>
              <w:jc w:val="center"/>
              <w:rPr>
                <w:rFonts w:hint="eastAsia" w:ascii="仿宋" w:hAnsi="仿宋" w:eastAsia="仿宋" w:cs="仿宋"/>
                <w:b/>
                <w:bCs/>
                <w:color w:val="000000" w:themeColor="text1"/>
                <w:kern w:val="0"/>
                <w:sz w:val="24"/>
                <w:szCs w:val="24"/>
                <w:highlight w:val="none"/>
              </w:rPr>
            </w:pPr>
            <w:r>
              <w:rPr>
                <w:rFonts w:hint="eastAsia" w:ascii="仿宋" w:hAnsi="仿宋" w:eastAsia="仿宋" w:cs="仿宋"/>
                <w:b/>
                <w:bCs/>
                <w:color w:val="000000" w:themeColor="text1"/>
                <w:kern w:val="0"/>
                <w:sz w:val="24"/>
                <w:szCs w:val="24"/>
                <w:highlight w:val="none"/>
                <w:lang w:eastAsia="zh-CN"/>
              </w:rPr>
              <w:t>专用业绩要求</w:t>
            </w:r>
          </w:p>
        </w:tc>
        <w:tc>
          <w:tcPr>
            <w:tcW w:w="1186" w:type="dxa"/>
            <w:shd w:val="clear" w:color="auto" w:fill="auto"/>
            <w:vAlign w:val="center"/>
          </w:tcPr>
          <w:p>
            <w:pPr>
              <w:widowControl/>
              <w:jc w:val="center"/>
              <w:rPr>
                <w:rFonts w:hint="eastAsia" w:ascii="仿宋" w:hAnsi="仿宋" w:eastAsia="仿宋" w:cs="仿宋"/>
                <w:b/>
                <w:bCs/>
                <w:color w:val="000000" w:themeColor="text1"/>
                <w:kern w:val="0"/>
                <w:sz w:val="24"/>
                <w:szCs w:val="24"/>
                <w:highlight w:val="none"/>
              </w:rPr>
            </w:pPr>
            <w:r>
              <w:rPr>
                <w:rFonts w:hint="eastAsia" w:ascii="仿宋" w:hAnsi="仿宋" w:eastAsia="仿宋" w:cs="仿宋"/>
                <w:b/>
                <w:bCs/>
                <w:color w:val="000000" w:themeColor="text1"/>
                <w:kern w:val="0"/>
                <w:sz w:val="24"/>
                <w:szCs w:val="24"/>
                <w:highlight w:val="none"/>
              </w:rPr>
              <w:t>保证金金额（万元）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exact"/>
          <w:jc w:val="center"/>
        </w:trPr>
        <w:tc>
          <w:tcPr>
            <w:tcW w:w="1273" w:type="dxa"/>
            <w:vMerge w:val="restart"/>
            <w:vAlign w:val="center"/>
          </w:tcPr>
          <w:p>
            <w:pPr>
              <w:widowControl/>
              <w:jc w:val="center"/>
              <w:rPr>
                <w:rFonts w:hint="eastAsia" w:ascii="仿宋" w:hAnsi="仿宋" w:eastAsia="仿宋" w:cs="仿宋"/>
                <w:color w:val="000000" w:themeColor="text1"/>
                <w:kern w:val="0"/>
                <w:sz w:val="24"/>
                <w:szCs w:val="24"/>
                <w:highlight w:val="none"/>
              </w:rPr>
            </w:pPr>
            <w:r>
              <w:rPr>
                <w:rFonts w:hint="eastAsia" w:ascii="仿宋" w:hAnsi="仿宋" w:eastAsia="仿宋" w:cs="仿宋"/>
                <w:color w:val="000000" w:themeColor="text1"/>
                <w:kern w:val="0"/>
                <w:sz w:val="24"/>
                <w:szCs w:val="24"/>
                <w:highlight w:val="none"/>
              </w:rPr>
              <w:t>线路巡检无人机采购项目</w:t>
            </w:r>
          </w:p>
        </w:tc>
        <w:tc>
          <w:tcPr>
            <w:tcW w:w="1142" w:type="dxa"/>
            <w:shd w:val="clear" w:color="auto" w:fill="auto"/>
            <w:vAlign w:val="center"/>
          </w:tcPr>
          <w:p>
            <w:pPr>
              <w:widowControl/>
              <w:jc w:val="center"/>
              <w:textAlignment w:val="bottom"/>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线路巡检无人机1</w:t>
            </w:r>
          </w:p>
        </w:tc>
        <w:tc>
          <w:tcPr>
            <w:tcW w:w="3255" w:type="dxa"/>
            <w:shd w:val="clear" w:color="auto" w:fill="auto"/>
            <w:vAlign w:val="center"/>
          </w:tcPr>
          <w:p>
            <w:pPr>
              <w:widowControl/>
              <w:textAlignment w:val="center"/>
              <w:rPr>
                <w:rFonts w:hint="eastAsia" w:ascii="仿宋" w:hAnsi="仿宋" w:eastAsia="仿宋" w:cs="仿宋"/>
                <w:color w:val="000000" w:themeColor="text1"/>
                <w:kern w:val="0"/>
                <w:sz w:val="24"/>
                <w:szCs w:val="24"/>
                <w:highlight w:val="none"/>
              </w:rPr>
            </w:pPr>
            <w:r>
              <w:rPr>
                <w:rFonts w:hint="eastAsia" w:ascii="仿宋" w:hAnsi="仿宋" w:eastAsia="仿宋" w:cs="仿宋"/>
                <w:color w:val="000000"/>
                <w:kern w:val="0"/>
                <w:sz w:val="24"/>
                <w:szCs w:val="24"/>
                <w:highlight w:val="none"/>
                <w:lang w:bidi="ar"/>
              </w:rPr>
              <w:t>最大飞行时间≥40min；抗风等级≥7级风；地面站正常工作续航时间≥180min；防护等级≥IP54；轴距≤680mm。</w:t>
            </w:r>
          </w:p>
        </w:tc>
        <w:tc>
          <w:tcPr>
            <w:tcW w:w="588" w:type="dxa"/>
            <w:shd w:val="clear" w:color="000000" w:fill="FFFFFF"/>
            <w:vAlign w:val="center"/>
          </w:tcPr>
          <w:p>
            <w:pPr>
              <w:widowControl/>
              <w:jc w:val="left"/>
              <w:rPr>
                <w:rFonts w:hint="eastAsia" w:ascii="仿宋" w:hAnsi="仿宋" w:eastAsia="仿宋" w:cs="仿宋"/>
                <w:color w:val="000000" w:themeColor="text1"/>
                <w:kern w:val="0"/>
                <w:sz w:val="24"/>
                <w:szCs w:val="24"/>
                <w:highlight w:val="none"/>
              </w:rPr>
            </w:pPr>
            <w:r>
              <w:rPr>
                <w:rFonts w:hint="eastAsia" w:ascii="仿宋" w:hAnsi="仿宋" w:eastAsia="仿宋" w:cs="仿宋"/>
                <w:color w:val="000000" w:themeColor="text1"/>
                <w:kern w:val="0"/>
                <w:sz w:val="24"/>
                <w:szCs w:val="24"/>
                <w:highlight w:val="none"/>
              </w:rPr>
              <w:t>套</w:t>
            </w:r>
          </w:p>
        </w:tc>
        <w:tc>
          <w:tcPr>
            <w:tcW w:w="554" w:type="dxa"/>
            <w:shd w:val="clear" w:color="000000" w:fill="FFFFFF"/>
            <w:vAlign w:val="center"/>
          </w:tcPr>
          <w:p>
            <w:pPr>
              <w:widowControl/>
              <w:jc w:val="center"/>
              <w:textAlignment w:val="center"/>
              <w:rPr>
                <w:rFonts w:hint="eastAsia" w:ascii="仿宋" w:hAnsi="仿宋" w:eastAsia="仿宋" w:cs="仿宋"/>
                <w:color w:val="000000" w:themeColor="text1"/>
                <w:kern w:val="0"/>
                <w:sz w:val="24"/>
                <w:szCs w:val="24"/>
                <w:highlight w:val="none"/>
              </w:rPr>
            </w:pPr>
            <w:r>
              <w:rPr>
                <w:rFonts w:hint="eastAsia" w:ascii="仿宋" w:hAnsi="仿宋" w:eastAsia="仿宋" w:cs="仿宋"/>
                <w:color w:val="000000"/>
                <w:kern w:val="0"/>
                <w:sz w:val="24"/>
                <w:szCs w:val="24"/>
                <w:highlight w:val="none"/>
                <w:lang w:bidi="ar"/>
              </w:rPr>
              <w:t>11</w:t>
            </w:r>
          </w:p>
        </w:tc>
        <w:tc>
          <w:tcPr>
            <w:tcW w:w="635" w:type="dxa"/>
            <w:vMerge w:val="restart"/>
            <w:shd w:val="clear" w:color="auto" w:fill="auto"/>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接到供货通知后</w:t>
            </w:r>
            <w:r>
              <w:rPr>
                <w:rFonts w:hint="eastAsia" w:ascii="仿宋" w:hAnsi="仿宋" w:eastAsia="仿宋" w:cs="仿宋"/>
                <w:kern w:val="0"/>
                <w:sz w:val="24"/>
                <w:szCs w:val="24"/>
                <w:highlight w:val="none"/>
                <w:u w:val="single"/>
              </w:rPr>
              <w:t>60</w:t>
            </w:r>
            <w:r>
              <w:rPr>
                <w:rFonts w:hint="eastAsia" w:ascii="仿宋" w:hAnsi="仿宋" w:eastAsia="仿宋" w:cs="仿宋"/>
                <w:kern w:val="0"/>
                <w:sz w:val="24"/>
                <w:szCs w:val="24"/>
                <w:highlight w:val="none"/>
              </w:rPr>
              <w:t>日内</w:t>
            </w:r>
          </w:p>
        </w:tc>
        <w:tc>
          <w:tcPr>
            <w:tcW w:w="738" w:type="dxa"/>
            <w:vMerge w:val="restart"/>
            <w:vAlign w:val="center"/>
          </w:tcPr>
          <w:p>
            <w:pPr>
              <w:jc w:val="center"/>
              <w:rPr>
                <w:rFonts w:hint="eastAsia" w:ascii="仿宋" w:hAnsi="仿宋" w:eastAsia="仿宋" w:cs="仿宋"/>
                <w:color w:val="000000" w:themeColor="text1"/>
                <w:kern w:val="0"/>
                <w:sz w:val="24"/>
                <w:szCs w:val="24"/>
                <w:highlight w:val="none"/>
              </w:rPr>
            </w:pPr>
            <w:r>
              <w:rPr>
                <w:rFonts w:hint="eastAsia" w:ascii="仿宋" w:hAnsi="仿宋" w:eastAsia="仿宋" w:cs="仿宋"/>
                <w:color w:val="000000" w:themeColor="text1"/>
                <w:kern w:val="0"/>
                <w:sz w:val="24"/>
                <w:szCs w:val="24"/>
                <w:highlight w:val="none"/>
                <w:u w:val="single"/>
              </w:rPr>
              <w:t>36</w:t>
            </w:r>
            <w:r>
              <w:rPr>
                <w:rFonts w:hint="eastAsia" w:ascii="仿宋" w:hAnsi="仿宋" w:eastAsia="仿宋" w:cs="仿宋"/>
                <w:color w:val="000000" w:themeColor="text1"/>
                <w:kern w:val="0"/>
                <w:sz w:val="24"/>
                <w:szCs w:val="24"/>
                <w:highlight w:val="none"/>
              </w:rPr>
              <w:t>个月</w:t>
            </w:r>
          </w:p>
        </w:tc>
        <w:tc>
          <w:tcPr>
            <w:tcW w:w="716" w:type="dxa"/>
            <w:vMerge w:val="restart"/>
            <w:shd w:val="clear" w:color="auto" w:fill="auto"/>
            <w:vAlign w:val="center"/>
          </w:tcPr>
          <w:p>
            <w:pPr>
              <w:jc w:val="center"/>
              <w:rPr>
                <w:rFonts w:hint="eastAsia" w:ascii="仿宋" w:hAnsi="仿宋" w:eastAsia="仿宋" w:cs="仿宋"/>
                <w:color w:val="000000" w:themeColor="text1"/>
                <w:kern w:val="0"/>
                <w:sz w:val="24"/>
                <w:szCs w:val="24"/>
                <w:highlight w:val="none"/>
              </w:rPr>
            </w:pPr>
            <w:r>
              <w:rPr>
                <w:rFonts w:hint="eastAsia" w:ascii="仿宋" w:hAnsi="仿宋" w:eastAsia="仿宋" w:cs="仿宋"/>
                <w:color w:val="000000" w:themeColor="text1"/>
                <w:kern w:val="0"/>
                <w:sz w:val="24"/>
                <w:szCs w:val="24"/>
                <w:highlight w:val="none"/>
              </w:rPr>
              <w:t>买方指定地点地面交货</w:t>
            </w:r>
          </w:p>
        </w:tc>
        <w:tc>
          <w:tcPr>
            <w:tcW w:w="1223" w:type="dxa"/>
            <w:vMerge w:val="restart"/>
            <w:shd w:val="clear" w:color="auto" w:fill="auto"/>
            <w:vAlign w:val="center"/>
          </w:tcPr>
          <w:p>
            <w:pPr>
              <w:jc w:val="center"/>
              <w:rPr>
                <w:rFonts w:hint="eastAsia" w:ascii="仿宋" w:hAnsi="仿宋" w:eastAsia="仿宋" w:cs="仿宋"/>
                <w:color w:val="000000" w:themeColor="text1"/>
                <w:kern w:val="0"/>
                <w:sz w:val="24"/>
                <w:szCs w:val="24"/>
                <w:highlight w:val="none"/>
                <w:lang w:eastAsia="zh-CN"/>
              </w:rPr>
            </w:pPr>
            <w:r>
              <w:rPr>
                <w:rFonts w:hint="eastAsia" w:ascii="仿宋" w:hAnsi="仿宋" w:eastAsia="仿宋" w:cs="仿宋"/>
                <w:color w:val="000000" w:themeColor="text1"/>
                <w:kern w:val="0"/>
                <w:sz w:val="24"/>
                <w:szCs w:val="24"/>
                <w:highlight w:val="none"/>
                <w:lang w:val="en-US" w:eastAsia="zh-CN"/>
              </w:rPr>
              <w:t>1.</w:t>
            </w:r>
            <w:r>
              <w:rPr>
                <w:rFonts w:hint="eastAsia" w:ascii="仿宋" w:hAnsi="仿宋" w:eastAsia="仿宋" w:cs="仿宋"/>
                <w:color w:val="000000" w:themeColor="text1"/>
                <w:kern w:val="0"/>
                <w:sz w:val="24"/>
                <w:szCs w:val="24"/>
                <w:highlight w:val="none"/>
              </w:rPr>
              <w:t>厂商要求</w:t>
            </w:r>
            <w:r>
              <w:rPr>
                <w:rFonts w:hint="eastAsia" w:ascii="仿宋" w:hAnsi="仿宋" w:eastAsia="仿宋" w:cs="仿宋"/>
                <w:color w:val="000000" w:themeColor="text1"/>
                <w:kern w:val="0"/>
                <w:sz w:val="24"/>
                <w:szCs w:val="24"/>
                <w:highlight w:val="none"/>
                <w:lang w:eastAsia="zh-CN"/>
              </w:rPr>
              <w:t>：</w:t>
            </w:r>
            <w:r>
              <w:rPr>
                <w:rFonts w:hint="eastAsia" w:ascii="仿宋" w:hAnsi="仿宋" w:eastAsia="仿宋" w:cs="仿宋"/>
                <w:color w:val="000000" w:themeColor="text1"/>
                <w:kern w:val="0"/>
                <w:sz w:val="24"/>
                <w:szCs w:val="24"/>
                <w:highlight w:val="none"/>
              </w:rPr>
              <w:t>供应商应具有独立订立合同的法人资格</w:t>
            </w:r>
            <w:r>
              <w:rPr>
                <w:rFonts w:hint="eastAsia" w:ascii="仿宋" w:hAnsi="仿宋" w:eastAsia="仿宋" w:cs="仿宋"/>
                <w:color w:val="000000" w:themeColor="text1"/>
                <w:kern w:val="0"/>
                <w:sz w:val="24"/>
                <w:szCs w:val="24"/>
                <w:highlight w:val="none"/>
                <w:lang w:eastAsia="zh-CN"/>
              </w:rPr>
              <w:t>；</w:t>
            </w:r>
          </w:p>
          <w:p>
            <w:pPr>
              <w:jc w:val="center"/>
              <w:rPr>
                <w:rFonts w:hint="eastAsia" w:eastAsia="仿宋"/>
                <w:highlight w:val="none"/>
                <w:lang w:eastAsia="zh-CN"/>
              </w:rPr>
            </w:pPr>
            <w:r>
              <w:rPr>
                <w:rFonts w:hint="eastAsia" w:ascii="仿宋" w:hAnsi="仿宋" w:eastAsia="仿宋" w:cs="仿宋"/>
                <w:color w:val="000000" w:themeColor="text1"/>
                <w:kern w:val="0"/>
                <w:sz w:val="24"/>
                <w:szCs w:val="24"/>
                <w:highlight w:val="none"/>
                <w:lang w:val="en-US" w:eastAsia="zh-CN"/>
              </w:rPr>
              <w:t>2.备注：具备《通用航空</w:t>
            </w:r>
            <w:r>
              <w:rPr>
                <w:rFonts w:hint="eastAsia" w:ascii="仿宋" w:hAnsi="仿宋" w:eastAsia="仿宋" w:cs="仿宋"/>
                <w:color w:val="000000" w:themeColor="text1"/>
                <w:kern w:val="0"/>
                <w:sz w:val="24"/>
                <w:szCs w:val="24"/>
                <w:highlight w:val="none"/>
              </w:rPr>
              <w:t>企业经营许可证》或《民用无人驾驶航空器运营合格证》</w:t>
            </w:r>
            <w:r>
              <w:rPr>
                <w:rFonts w:hint="eastAsia" w:ascii="仿宋" w:hAnsi="仿宋" w:eastAsia="仿宋" w:cs="仿宋"/>
                <w:color w:val="000000" w:themeColor="text1"/>
                <w:kern w:val="0"/>
                <w:sz w:val="24"/>
                <w:szCs w:val="24"/>
                <w:highlight w:val="none"/>
                <w:lang w:eastAsia="zh-CN"/>
              </w:rPr>
              <w:t>。</w:t>
            </w:r>
          </w:p>
        </w:tc>
        <w:tc>
          <w:tcPr>
            <w:tcW w:w="2019" w:type="dxa"/>
            <w:vMerge w:val="restart"/>
            <w:shd w:val="clear" w:color="auto" w:fill="auto"/>
            <w:vAlign w:val="center"/>
          </w:tcPr>
          <w:p>
            <w:pPr>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rPr>
              <w:t>业绩要求</w:t>
            </w:r>
            <w:r>
              <w:rPr>
                <w:rFonts w:hint="eastAsia" w:ascii="仿宋" w:hAnsi="仿宋" w:eastAsia="仿宋" w:cs="仿宋"/>
                <w:color w:val="000000" w:themeColor="text1"/>
                <w:kern w:val="0"/>
                <w:sz w:val="24"/>
                <w:szCs w:val="24"/>
                <w:highlight w:val="none"/>
                <w:lang w:eastAsia="zh-CN"/>
              </w:rPr>
              <w:t>：</w:t>
            </w:r>
            <w:r>
              <w:rPr>
                <w:rFonts w:hint="eastAsia" w:ascii="仿宋" w:hAnsi="仿宋" w:eastAsia="仿宋" w:cs="仿宋"/>
                <w:color w:val="000000" w:themeColor="text1"/>
                <w:kern w:val="0"/>
                <w:sz w:val="24"/>
                <w:szCs w:val="24"/>
                <w:highlight w:val="none"/>
              </w:rPr>
              <w:t>2021年1月1日至招标采购公告发布日止，完成过无人机及相关配件、载荷销售业绩不少于2份，合同额累计不少于600万元。注：业绩必须提供对应的合同复印件</w:t>
            </w:r>
            <w:r>
              <w:rPr>
                <w:rFonts w:hint="eastAsia" w:ascii="仿宋" w:hAnsi="仿宋" w:eastAsia="仿宋" w:cs="仿宋"/>
                <w:color w:val="000000" w:themeColor="text1"/>
                <w:kern w:val="0"/>
                <w:sz w:val="24"/>
                <w:szCs w:val="24"/>
                <w:highlight w:val="none"/>
                <w:lang w:eastAsia="zh-CN"/>
              </w:rPr>
              <w:t>。</w:t>
            </w:r>
          </w:p>
        </w:tc>
        <w:tc>
          <w:tcPr>
            <w:tcW w:w="1186" w:type="dxa"/>
            <w:vMerge w:val="restart"/>
            <w:shd w:val="clear" w:color="auto" w:fill="auto"/>
            <w:vAlign w:val="center"/>
          </w:tcPr>
          <w:p>
            <w:pPr>
              <w:jc w:val="center"/>
              <w:rPr>
                <w:rFonts w:hint="eastAsia" w:ascii="仿宋" w:hAnsi="仿宋" w:eastAsia="仿宋" w:cs="仿宋"/>
                <w:color w:val="000000" w:themeColor="text1"/>
                <w:kern w:val="0"/>
                <w:sz w:val="24"/>
                <w:szCs w:val="24"/>
                <w:highlight w:val="none"/>
              </w:rPr>
            </w:pPr>
            <w:r>
              <w:rPr>
                <w:rFonts w:hint="eastAsia" w:ascii="仿宋" w:hAnsi="仿宋" w:eastAsia="仿宋" w:cs="仿宋"/>
                <w:color w:val="000000" w:themeColor="text1"/>
                <w:kern w:val="0"/>
                <w:sz w:val="24"/>
                <w:szCs w:val="24"/>
                <w:highlight w:val="none"/>
              </w:rPr>
              <w:t>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2" w:hRule="exact"/>
          <w:jc w:val="center"/>
        </w:trPr>
        <w:tc>
          <w:tcPr>
            <w:tcW w:w="1273" w:type="dxa"/>
            <w:vMerge w:val="continue"/>
            <w:vAlign w:val="center"/>
          </w:tcPr>
          <w:p>
            <w:pPr>
              <w:widowControl/>
              <w:jc w:val="center"/>
              <w:rPr>
                <w:rFonts w:hint="eastAsia" w:ascii="仿宋" w:hAnsi="仿宋" w:eastAsia="仿宋" w:cs="仿宋"/>
                <w:color w:val="000000" w:themeColor="text1"/>
                <w:kern w:val="0"/>
                <w:sz w:val="24"/>
                <w:szCs w:val="24"/>
                <w:highlight w:val="none"/>
              </w:rPr>
            </w:pPr>
          </w:p>
        </w:tc>
        <w:tc>
          <w:tcPr>
            <w:tcW w:w="1142" w:type="dxa"/>
            <w:shd w:val="clear" w:color="auto" w:fill="auto"/>
            <w:vAlign w:val="center"/>
          </w:tcPr>
          <w:p>
            <w:pPr>
              <w:widowControl/>
              <w:jc w:val="center"/>
              <w:textAlignment w:val="bottom"/>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线路巡检无人机2</w:t>
            </w:r>
          </w:p>
        </w:tc>
        <w:tc>
          <w:tcPr>
            <w:tcW w:w="3255" w:type="dxa"/>
            <w:shd w:val="clear" w:color="auto" w:fill="auto"/>
            <w:vAlign w:val="center"/>
          </w:tcPr>
          <w:p>
            <w:pPr>
              <w:widowControl/>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最大起飞重量≥9200 g; 最长飞行时间：≥55 min；对称电机轴距≥895 mm；IP 防护等级：≥IP55；电池容量≥5880mAh。</w:t>
            </w:r>
          </w:p>
        </w:tc>
        <w:tc>
          <w:tcPr>
            <w:tcW w:w="588" w:type="dxa"/>
            <w:shd w:val="clear" w:color="000000" w:fill="FFFFFF"/>
            <w:vAlign w:val="center"/>
          </w:tcPr>
          <w:p>
            <w:pPr>
              <w:widowControl/>
              <w:jc w:val="left"/>
              <w:rPr>
                <w:rFonts w:hint="eastAsia" w:ascii="仿宋" w:hAnsi="仿宋" w:eastAsia="仿宋" w:cs="仿宋"/>
                <w:color w:val="000000" w:themeColor="text1"/>
                <w:kern w:val="0"/>
                <w:sz w:val="24"/>
                <w:szCs w:val="24"/>
                <w:highlight w:val="none"/>
              </w:rPr>
            </w:pPr>
            <w:r>
              <w:rPr>
                <w:rFonts w:hint="eastAsia" w:ascii="仿宋" w:hAnsi="仿宋" w:eastAsia="仿宋" w:cs="仿宋"/>
                <w:color w:val="000000" w:themeColor="text1"/>
                <w:kern w:val="0"/>
                <w:sz w:val="24"/>
                <w:szCs w:val="24"/>
                <w:highlight w:val="none"/>
              </w:rPr>
              <w:t>套</w:t>
            </w:r>
          </w:p>
        </w:tc>
        <w:tc>
          <w:tcPr>
            <w:tcW w:w="554" w:type="dxa"/>
            <w:shd w:val="clear" w:color="000000" w:fill="FFFFFF"/>
            <w:vAlign w:val="center"/>
          </w:tcPr>
          <w:p>
            <w:pPr>
              <w:widowControl/>
              <w:jc w:val="center"/>
              <w:textAlignment w:val="center"/>
              <w:rPr>
                <w:rFonts w:hint="eastAsia" w:ascii="仿宋" w:hAnsi="仿宋" w:eastAsia="仿宋" w:cs="仿宋"/>
                <w:color w:val="000000" w:themeColor="text1"/>
                <w:kern w:val="0"/>
                <w:sz w:val="24"/>
                <w:szCs w:val="24"/>
                <w:highlight w:val="none"/>
              </w:rPr>
            </w:pPr>
            <w:r>
              <w:rPr>
                <w:rFonts w:hint="eastAsia" w:ascii="仿宋" w:hAnsi="仿宋" w:eastAsia="仿宋" w:cs="仿宋"/>
                <w:color w:val="000000"/>
                <w:kern w:val="0"/>
                <w:sz w:val="24"/>
                <w:szCs w:val="24"/>
                <w:highlight w:val="none"/>
                <w:lang w:bidi="ar"/>
              </w:rPr>
              <w:t>18</w:t>
            </w:r>
          </w:p>
        </w:tc>
        <w:tc>
          <w:tcPr>
            <w:tcW w:w="635" w:type="dxa"/>
            <w:vMerge w:val="continue"/>
            <w:shd w:val="clear" w:color="auto" w:fill="auto"/>
            <w:vAlign w:val="center"/>
          </w:tcPr>
          <w:p>
            <w:pPr>
              <w:widowControl/>
              <w:jc w:val="center"/>
              <w:rPr>
                <w:rFonts w:hint="eastAsia" w:ascii="仿宋" w:hAnsi="仿宋" w:eastAsia="仿宋" w:cs="仿宋"/>
                <w:kern w:val="0"/>
                <w:sz w:val="24"/>
                <w:szCs w:val="24"/>
                <w:highlight w:val="none"/>
              </w:rPr>
            </w:pPr>
          </w:p>
        </w:tc>
        <w:tc>
          <w:tcPr>
            <w:tcW w:w="738" w:type="dxa"/>
            <w:vMerge w:val="continue"/>
            <w:vAlign w:val="center"/>
          </w:tcPr>
          <w:p>
            <w:pPr>
              <w:jc w:val="center"/>
              <w:rPr>
                <w:rFonts w:hint="eastAsia" w:ascii="仿宋" w:hAnsi="仿宋" w:eastAsia="仿宋" w:cs="仿宋"/>
                <w:color w:val="000000" w:themeColor="text1"/>
                <w:kern w:val="0"/>
                <w:sz w:val="24"/>
                <w:szCs w:val="24"/>
                <w:highlight w:val="none"/>
                <w:u w:val="single"/>
              </w:rPr>
            </w:pPr>
          </w:p>
        </w:tc>
        <w:tc>
          <w:tcPr>
            <w:tcW w:w="716" w:type="dxa"/>
            <w:vMerge w:val="continue"/>
            <w:shd w:val="clear" w:color="auto" w:fill="auto"/>
            <w:vAlign w:val="center"/>
          </w:tcPr>
          <w:p>
            <w:pPr>
              <w:jc w:val="center"/>
              <w:rPr>
                <w:rFonts w:hint="eastAsia" w:ascii="仿宋" w:hAnsi="仿宋" w:eastAsia="仿宋" w:cs="仿宋"/>
                <w:color w:val="000000" w:themeColor="text1"/>
                <w:kern w:val="0"/>
                <w:sz w:val="24"/>
                <w:szCs w:val="24"/>
                <w:highlight w:val="none"/>
              </w:rPr>
            </w:pPr>
          </w:p>
        </w:tc>
        <w:tc>
          <w:tcPr>
            <w:tcW w:w="1223" w:type="dxa"/>
            <w:vMerge w:val="continue"/>
            <w:shd w:val="clear" w:color="auto" w:fill="auto"/>
            <w:vAlign w:val="center"/>
          </w:tcPr>
          <w:p>
            <w:pPr>
              <w:jc w:val="center"/>
              <w:rPr>
                <w:rFonts w:hint="eastAsia" w:ascii="仿宋" w:hAnsi="仿宋" w:eastAsia="仿宋" w:cs="仿宋"/>
                <w:color w:val="000000" w:themeColor="text1"/>
                <w:kern w:val="0"/>
                <w:sz w:val="24"/>
                <w:szCs w:val="24"/>
                <w:highlight w:val="none"/>
              </w:rPr>
            </w:pPr>
          </w:p>
        </w:tc>
        <w:tc>
          <w:tcPr>
            <w:tcW w:w="2019" w:type="dxa"/>
            <w:vMerge w:val="continue"/>
            <w:shd w:val="clear" w:color="auto" w:fill="auto"/>
            <w:vAlign w:val="center"/>
          </w:tcPr>
          <w:p>
            <w:pPr>
              <w:jc w:val="center"/>
              <w:rPr>
                <w:rFonts w:hint="eastAsia" w:ascii="仿宋" w:hAnsi="仿宋" w:eastAsia="仿宋" w:cs="仿宋"/>
                <w:color w:val="000000" w:themeColor="text1"/>
                <w:kern w:val="0"/>
                <w:sz w:val="24"/>
                <w:szCs w:val="24"/>
                <w:highlight w:val="none"/>
              </w:rPr>
            </w:pPr>
          </w:p>
        </w:tc>
        <w:tc>
          <w:tcPr>
            <w:tcW w:w="1186" w:type="dxa"/>
            <w:vMerge w:val="continue"/>
            <w:shd w:val="clear" w:color="auto" w:fill="auto"/>
            <w:vAlign w:val="center"/>
          </w:tcPr>
          <w:p>
            <w:pPr>
              <w:jc w:val="center"/>
              <w:rPr>
                <w:rFonts w:hint="eastAsia" w:ascii="仿宋" w:hAnsi="仿宋" w:eastAsia="仿宋" w:cs="仿宋"/>
                <w:color w:val="000000" w:themeColor="text1"/>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jc w:val="center"/>
        </w:trPr>
        <w:tc>
          <w:tcPr>
            <w:tcW w:w="1273" w:type="dxa"/>
            <w:vMerge w:val="continue"/>
            <w:vAlign w:val="center"/>
          </w:tcPr>
          <w:p>
            <w:pPr>
              <w:widowControl/>
              <w:jc w:val="center"/>
              <w:rPr>
                <w:rFonts w:hint="eastAsia" w:ascii="仿宋" w:hAnsi="仿宋" w:eastAsia="仿宋" w:cs="仿宋"/>
                <w:color w:val="000000" w:themeColor="text1"/>
                <w:kern w:val="0"/>
                <w:sz w:val="24"/>
                <w:szCs w:val="24"/>
                <w:highlight w:val="none"/>
              </w:rPr>
            </w:pPr>
          </w:p>
        </w:tc>
        <w:tc>
          <w:tcPr>
            <w:tcW w:w="1142" w:type="dxa"/>
            <w:shd w:val="clear" w:color="auto" w:fill="auto"/>
            <w:vAlign w:val="center"/>
          </w:tcPr>
          <w:p>
            <w:pPr>
              <w:widowControl/>
              <w:jc w:val="center"/>
              <w:textAlignment w:val="bottom"/>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线路巡检无人机3</w:t>
            </w:r>
          </w:p>
        </w:tc>
        <w:tc>
          <w:tcPr>
            <w:tcW w:w="3255" w:type="dxa"/>
            <w:shd w:val="clear" w:color="auto" w:fill="auto"/>
            <w:vAlign w:val="center"/>
          </w:tcPr>
          <w:p>
            <w:pPr>
              <w:widowControl/>
              <w:tabs>
                <w:tab w:val="left" w:pos="508"/>
              </w:tabs>
              <w:jc w:val="left"/>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对角线轴距应在380mm士10mm 范围内；最长飞行时间：≥40 min；</w:t>
            </w:r>
            <w:r>
              <w:rPr>
                <w:rFonts w:hint="eastAsia" w:ascii="仿宋" w:hAnsi="仿宋" w:eastAsia="仿宋" w:cs="仿宋"/>
                <w:kern w:val="0"/>
                <w:sz w:val="24"/>
                <w:szCs w:val="24"/>
                <w:highlight w:val="none"/>
              </w:rPr>
              <w:t>红外传感器的有效像素数不低于30万；</w:t>
            </w:r>
            <w:r>
              <w:rPr>
                <w:rFonts w:hint="eastAsia" w:ascii="仿宋" w:hAnsi="仿宋" w:eastAsia="仿宋" w:cs="仿宋"/>
                <w:color w:val="000000"/>
                <w:kern w:val="0"/>
                <w:sz w:val="24"/>
                <w:szCs w:val="24"/>
                <w:highlight w:val="none"/>
                <w:lang w:bidi="ar"/>
              </w:rPr>
              <w:t>抗风等级≥6级风；最大作业半径≥7000 m。</w:t>
            </w:r>
          </w:p>
        </w:tc>
        <w:tc>
          <w:tcPr>
            <w:tcW w:w="588" w:type="dxa"/>
            <w:shd w:val="clear" w:color="000000" w:fill="FFFFFF"/>
            <w:vAlign w:val="center"/>
          </w:tcPr>
          <w:p>
            <w:pPr>
              <w:widowControl/>
              <w:jc w:val="left"/>
              <w:rPr>
                <w:rFonts w:hint="eastAsia" w:ascii="仿宋" w:hAnsi="仿宋" w:eastAsia="仿宋" w:cs="仿宋"/>
                <w:color w:val="000000" w:themeColor="text1"/>
                <w:kern w:val="0"/>
                <w:sz w:val="24"/>
                <w:szCs w:val="24"/>
                <w:highlight w:val="none"/>
              </w:rPr>
            </w:pPr>
            <w:r>
              <w:rPr>
                <w:rFonts w:hint="eastAsia" w:ascii="仿宋" w:hAnsi="仿宋" w:eastAsia="仿宋" w:cs="仿宋"/>
                <w:color w:val="000000" w:themeColor="text1"/>
                <w:kern w:val="0"/>
                <w:sz w:val="24"/>
                <w:szCs w:val="24"/>
                <w:highlight w:val="none"/>
              </w:rPr>
              <w:t>套</w:t>
            </w:r>
          </w:p>
        </w:tc>
        <w:tc>
          <w:tcPr>
            <w:tcW w:w="554" w:type="dxa"/>
            <w:shd w:val="clear" w:color="000000" w:fill="FFFFFF"/>
            <w:vAlign w:val="center"/>
          </w:tcPr>
          <w:p>
            <w:pPr>
              <w:widowControl/>
              <w:jc w:val="center"/>
              <w:textAlignment w:val="center"/>
              <w:rPr>
                <w:rFonts w:hint="eastAsia" w:ascii="仿宋" w:hAnsi="仿宋" w:eastAsia="仿宋" w:cs="仿宋"/>
                <w:color w:val="000000" w:themeColor="text1"/>
                <w:kern w:val="0"/>
                <w:sz w:val="24"/>
                <w:szCs w:val="24"/>
                <w:highlight w:val="none"/>
              </w:rPr>
            </w:pPr>
            <w:r>
              <w:rPr>
                <w:rFonts w:hint="eastAsia" w:ascii="仿宋" w:hAnsi="仿宋" w:eastAsia="仿宋" w:cs="仿宋"/>
                <w:color w:val="000000"/>
                <w:kern w:val="0"/>
                <w:sz w:val="24"/>
                <w:szCs w:val="24"/>
                <w:highlight w:val="none"/>
                <w:lang w:bidi="ar"/>
              </w:rPr>
              <w:t>33</w:t>
            </w:r>
          </w:p>
        </w:tc>
        <w:tc>
          <w:tcPr>
            <w:tcW w:w="635" w:type="dxa"/>
            <w:vMerge w:val="continue"/>
            <w:shd w:val="clear" w:color="auto" w:fill="auto"/>
            <w:vAlign w:val="center"/>
          </w:tcPr>
          <w:p>
            <w:pPr>
              <w:widowControl/>
              <w:jc w:val="center"/>
              <w:rPr>
                <w:rFonts w:hint="eastAsia" w:ascii="仿宋" w:hAnsi="仿宋" w:eastAsia="仿宋" w:cs="仿宋"/>
                <w:kern w:val="0"/>
                <w:sz w:val="24"/>
                <w:szCs w:val="24"/>
                <w:highlight w:val="none"/>
              </w:rPr>
            </w:pPr>
          </w:p>
        </w:tc>
        <w:tc>
          <w:tcPr>
            <w:tcW w:w="738" w:type="dxa"/>
            <w:vMerge w:val="continue"/>
            <w:vAlign w:val="center"/>
          </w:tcPr>
          <w:p>
            <w:pPr>
              <w:jc w:val="center"/>
              <w:rPr>
                <w:rFonts w:hint="eastAsia" w:ascii="仿宋" w:hAnsi="仿宋" w:eastAsia="仿宋" w:cs="仿宋"/>
                <w:color w:val="000000" w:themeColor="text1"/>
                <w:kern w:val="0"/>
                <w:sz w:val="24"/>
                <w:szCs w:val="24"/>
                <w:highlight w:val="none"/>
                <w:u w:val="single"/>
              </w:rPr>
            </w:pPr>
          </w:p>
        </w:tc>
        <w:tc>
          <w:tcPr>
            <w:tcW w:w="716" w:type="dxa"/>
            <w:vMerge w:val="continue"/>
            <w:shd w:val="clear" w:color="auto" w:fill="auto"/>
            <w:vAlign w:val="center"/>
          </w:tcPr>
          <w:p>
            <w:pPr>
              <w:jc w:val="center"/>
              <w:rPr>
                <w:rFonts w:hint="eastAsia" w:ascii="仿宋" w:hAnsi="仿宋" w:eastAsia="仿宋" w:cs="仿宋"/>
                <w:color w:val="000000" w:themeColor="text1"/>
                <w:kern w:val="0"/>
                <w:sz w:val="24"/>
                <w:szCs w:val="24"/>
                <w:highlight w:val="none"/>
              </w:rPr>
            </w:pPr>
          </w:p>
        </w:tc>
        <w:tc>
          <w:tcPr>
            <w:tcW w:w="1223" w:type="dxa"/>
            <w:vMerge w:val="continue"/>
            <w:shd w:val="clear" w:color="auto" w:fill="auto"/>
            <w:vAlign w:val="center"/>
          </w:tcPr>
          <w:p>
            <w:pPr>
              <w:jc w:val="center"/>
              <w:rPr>
                <w:rFonts w:hint="eastAsia" w:ascii="仿宋" w:hAnsi="仿宋" w:eastAsia="仿宋" w:cs="仿宋"/>
                <w:color w:val="000000" w:themeColor="text1"/>
                <w:kern w:val="0"/>
                <w:sz w:val="24"/>
                <w:szCs w:val="24"/>
                <w:highlight w:val="none"/>
              </w:rPr>
            </w:pPr>
          </w:p>
        </w:tc>
        <w:tc>
          <w:tcPr>
            <w:tcW w:w="2019" w:type="dxa"/>
            <w:vMerge w:val="continue"/>
            <w:shd w:val="clear" w:color="auto" w:fill="auto"/>
            <w:vAlign w:val="center"/>
          </w:tcPr>
          <w:p>
            <w:pPr>
              <w:jc w:val="center"/>
              <w:rPr>
                <w:rFonts w:hint="eastAsia" w:ascii="仿宋" w:hAnsi="仿宋" w:eastAsia="仿宋" w:cs="仿宋"/>
                <w:color w:val="000000" w:themeColor="text1"/>
                <w:kern w:val="0"/>
                <w:sz w:val="24"/>
                <w:szCs w:val="24"/>
                <w:highlight w:val="none"/>
              </w:rPr>
            </w:pPr>
          </w:p>
        </w:tc>
        <w:tc>
          <w:tcPr>
            <w:tcW w:w="1186" w:type="dxa"/>
            <w:vMerge w:val="continue"/>
            <w:shd w:val="clear" w:color="auto" w:fill="auto"/>
            <w:vAlign w:val="center"/>
          </w:tcPr>
          <w:p>
            <w:pPr>
              <w:jc w:val="center"/>
              <w:rPr>
                <w:rFonts w:hint="eastAsia" w:ascii="仿宋" w:hAnsi="仿宋" w:eastAsia="仿宋" w:cs="仿宋"/>
                <w:color w:val="000000" w:themeColor="text1"/>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jc w:val="center"/>
        </w:trPr>
        <w:tc>
          <w:tcPr>
            <w:tcW w:w="1273" w:type="dxa"/>
            <w:vMerge w:val="continue"/>
            <w:vAlign w:val="center"/>
          </w:tcPr>
          <w:p>
            <w:pPr>
              <w:widowControl/>
              <w:jc w:val="center"/>
              <w:rPr>
                <w:rFonts w:hint="eastAsia" w:ascii="仿宋" w:hAnsi="仿宋" w:eastAsia="仿宋" w:cs="仿宋"/>
                <w:color w:val="000000" w:themeColor="text1"/>
                <w:kern w:val="0"/>
                <w:sz w:val="24"/>
                <w:szCs w:val="24"/>
                <w:highlight w:val="none"/>
              </w:rPr>
            </w:pPr>
          </w:p>
        </w:tc>
        <w:tc>
          <w:tcPr>
            <w:tcW w:w="1142" w:type="dxa"/>
            <w:shd w:val="clear" w:color="auto" w:fill="auto"/>
            <w:vAlign w:val="center"/>
          </w:tcPr>
          <w:p>
            <w:pPr>
              <w:widowControl/>
              <w:jc w:val="center"/>
              <w:textAlignment w:val="bottom"/>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线路巡检无人机4</w:t>
            </w:r>
          </w:p>
        </w:tc>
        <w:tc>
          <w:tcPr>
            <w:tcW w:w="3255" w:type="dxa"/>
            <w:shd w:val="clear" w:color="auto" w:fill="auto"/>
            <w:vAlign w:val="center"/>
          </w:tcPr>
          <w:p>
            <w:pPr>
              <w:widowControl/>
              <w:jc w:val="center"/>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轴距之间距离≤680mm；飞行器抗风等级≥7级风；飞行器防护等级≥IP54；最大飞行时间≥40min；电池容量不小于 5500mAh。</w:t>
            </w:r>
          </w:p>
        </w:tc>
        <w:tc>
          <w:tcPr>
            <w:tcW w:w="588" w:type="dxa"/>
            <w:shd w:val="clear" w:color="000000" w:fill="FFFFFF"/>
            <w:vAlign w:val="center"/>
          </w:tcPr>
          <w:p>
            <w:pPr>
              <w:widowControl/>
              <w:jc w:val="left"/>
              <w:rPr>
                <w:rFonts w:hint="eastAsia" w:ascii="仿宋" w:hAnsi="仿宋" w:eastAsia="仿宋" w:cs="仿宋"/>
                <w:color w:val="000000" w:themeColor="text1"/>
                <w:kern w:val="0"/>
                <w:sz w:val="24"/>
                <w:szCs w:val="24"/>
                <w:highlight w:val="none"/>
              </w:rPr>
            </w:pPr>
            <w:r>
              <w:rPr>
                <w:rFonts w:hint="eastAsia" w:ascii="仿宋" w:hAnsi="仿宋" w:eastAsia="仿宋" w:cs="仿宋"/>
                <w:color w:val="000000" w:themeColor="text1"/>
                <w:kern w:val="0"/>
                <w:sz w:val="24"/>
                <w:szCs w:val="24"/>
                <w:highlight w:val="none"/>
              </w:rPr>
              <w:t>套</w:t>
            </w:r>
          </w:p>
        </w:tc>
        <w:tc>
          <w:tcPr>
            <w:tcW w:w="554" w:type="dxa"/>
            <w:shd w:val="clear" w:color="000000" w:fill="FFFFFF"/>
            <w:vAlign w:val="center"/>
          </w:tcPr>
          <w:p>
            <w:pPr>
              <w:widowControl/>
              <w:jc w:val="center"/>
              <w:textAlignment w:val="center"/>
              <w:rPr>
                <w:rFonts w:hint="eastAsia" w:ascii="仿宋" w:hAnsi="仿宋" w:eastAsia="仿宋" w:cs="仿宋"/>
                <w:color w:val="000000" w:themeColor="text1"/>
                <w:kern w:val="0"/>
                <w:sz w:val="24"/>
                <w:szCs w:val="24"/>
                <w:highlight w:val="none"/>
              </w:rPr>
            </w:pPr>
            <w:r>
              <w:rPr>
                <w:rFonts w:hint="eastAsia" w:ascii="仿宋" w:hAnsi="仿宋" w:eastAsia="仿宋" w:cs="仿宋"/>
                <w:color w:val="000000"/>
                <w:kern w:val="0"/>
                <w:sz w:val="24"/>
                <w:szCs w:val="24"/>
                <w:highlight w:val="none"/>
                <w:lang w:bidi="ar"/>
              </w:rPr>
              <w:t>53</w:t>
            </w:r>
          </w:p>
        </w:tc>
        <w:tc>
          <w:tcPr>
            <w:tcW w:w="635" w:type="dxa"/>
            <w:vMerge w:val="continue"/>
            <w:shd w:val="clear" w:color="auto" w:fill="auto"/>
            <w:vAlign w:val="center"/>
          </w:tcPr>
          <w:p>
            <w:pPr>
              <w:widowControl/>
              <w:jc w:val="center"/>
              <w:rPr>
                <w:rFonts w:hint="eastAsia" w:ascii="仿宋" w:hAnsi="仿宋" w:eastAsia="仿宋" w:cs="仿宋"/>
                <w:kern w:val="0"/>
                <w:sz w:val="24"/>
                <w:szCs w:val="24"/>
                <w:highlight w:val="none"/>
              </w:rPr>
            </w:pPr>
          </w:p>
        </w:tc>
        <w:tc>
          <w:tcPr>
            <w:tcW w:w="738" w:type="dxa"/>
            <w:vMerge w:val="continue"/>
            <w:vAlign w:val="center"/>
          </w:tcPr>
          <w:p>
            <w:pPr>
              <w:jc w:val="center"/>
              <w:rPr>
                <w:rFonts w:hint="eastAsia" w:ascii="仿宋" w:hAnsi="仿宋" w:eastAsia="仿宋" w:cs="仿宋"/>
                <w:color w:val="000000" w:themeColor="text1"/>
                <w:kern w:val="0"/>
                <w:sz w:val="24"/>
                <w:szCs w:val="24"/>
                <w:highlight w:val="none"/>
                <w:u w:val="single"/>
              </w:rPr>
            </w:pPr>
          </w:p>
        </w:tc>
        <w:tc>
          <w:tcPr>
            <w:tcW w:w="716" w:type="dxa"/>
            <w:vMerge w:val="continue"/>
            <w:shd w:val="clear" w:color="auto" w:fill="auto"/>
            <w:vAlign w:val="center"/>
          </w:tcPr>
          <w:p>
            <w:pPr>
              <w:jc w:val="center"/>
              <w:rPr>
                <w:rFonts w:hint="eastAsia" w:ascii="仿宋" w:hAnsi="仿宋" w:eastAsia="仿宋" w:cs="仿宋"/>
                <w:color w:val="000000" w:themeColor="text1"/>
                <w:kern w:val="0"/>
                <w:sz w:val="24"/>
                <w:szCs w:val="24"/>
                <w:highlight w:val="none"/>
              </w:rPr>
            </w:pPr>
          </w:p>
        </w:tc>
        <w:tc>
          <w:tcPr>
            <w:tcW w:w="1223" w:type="dxa"/>
            <w:vMerge w:val="continue"/>
            <w:shd w:val="clear" w:color="auto" w:fill="auto"/>
            <w:vAlign w:val="center"/>
          </w:tcPr>
          <w:p>
            <w:pPr>
              <w:jc w:val="center"/>
              <w:rPr>
                <w:rFonts w:hint="eastAsia" w:ascii="仿宋" w:hAnsi="仿宋" w:eastAsia="仿宋" w:cs="仿宋"/>
                <w:color w:val="000000" w:themeColor="text1"/>
                <w:kern w:val="0"/>
                <w:sz w:val="24"/>
                <w:szCs w:val="24"/>
                <w:highlight w:val="none"/>
              </w:rPr>
            </w:pPr>
          </w:p>
        </w:tc>
        <w:tc>
          <w:tcPr>
            <w:tcW w:w="2019" w:type="dxa"/>
            <w:vMerge w:val="continue"/>
            <w:shd w:val="clear" w:color="auto" w:fill="auto"/>
            <w:vAlign w:val="center"/>
          </w:tcPr>
          <w:p>
            <w:pPr>
              <w:jc w:val="center"/>
              <w:rPr>
                <w:rFonts w:hint="eastAsia" w:ascii="仿宋" w:hAnsi="仿宋" w:eastAsia="仿宋" w:cs="仿宋"/>
                <w:color w:val="000000" w:themeColor="text1"/>
                <w:kern w:val="0"/>
                <w:sz w:val="24"/>
                <w:szCs w:val="24"/>
                <w:highlight w:val="none"/>
              </w:rPr>
            </w:pPr>
          </w:p>
        </w:tc>
        <w:tc>
          <w:tcPr>
            <w:tcW w:w="1186" w:type="dxa"/>
            <w:vMerge w:val="continue"/>
            <w:shd w:val="clear" w:color="auto" w:fill="auto"/>
            <w:vAlign w:val="center"/>
          </w:tcPr>
          <w:p>
            <w:pPr>
              <w:jc w:val="center"/>
              <w:rPr>
                <w:rFonts w:hint="eastAsia" w:ascii="仿宋" w:hAnsi="仿宋" w:eastAsia="仿宋" w:cs="仿宋"/>
                <w:color w:val="000000" w:themeColor="text1"/>
                <w:kern w:val="0"/>
                <w:sz w:val="24"/>
                <w:szCs w:val="24"/>
                <w:highlight w:val="none"/>
              </w:rPr>
            </w:pPr>
          </w:p>
        </w:tc>
      </w:tr>
    </w:tbl>
    <w:p>
      <w:pPr>
        <w:pStyle w:val="15"/>
        <w:rPr>
          <w:rFonts w:hint="eastAsia" w:ascii="仿宋" w:hAnsi="仿宋" w:eastAsia="仿宋" w:cs="仿宋"/>
          <w:b w:val="0"/>
          <w:bCs w:val="0"/>
          <w:sz w:val="22"/>
          <w:szCs w:val="22"/>
          <w:highlight w:val="none"/>
        </w:rPr>
      </w:pPr>
      <w:r>
        <w:rPr>
          <w:rFonts w:hint="eastAsia" w:ascii="仿宋" w:hAnsi="仿宋" w:eastAsia="仿宋" w:cs="仿宋"/>
          <w:color w:val="000000" w:themeColor="text1"/>
          <w:sz w:val="24"/>
          <w:szCs w:val="24"/>
          <w:highlight w:val="none"/>
        </w:rPr>
        <w:t>具体供货不局限于上述产品。应包括上述产品相关配件，类似升级产品</w:t>
      </w:r>
      <w:r>
        <w:rPr>
          <w:rFonts w:hint="eastAsia" w:ascii="仿宋" w:hAnsi="仿宋" w:eastAsia="仿宋" w:cs="仿宋"/>
          <w:b w:val="0"/>
          <w:bCs w:val="0"/>
          <w:sz w:val="22"/>
          <w:szCs w:val="22"/>
          <w:highlight w:val="none"/>
        </w:rPr>
        <w:t>。</w:t>
      </w:r>
    </w:p>
    <w:p>
      <w:pPr>
        <w:pStyle w:val="15"/>
        <w:rPr>
          <w:rFonts w:hint="eastAsia" w:ascii="仿宋" w:hAnsi="仿宋" w:eastAsia="仿宋" w:cs="仿宋"/>
          <w:b w:val="0"/>
          <w:bCs w:val="0"/>
          <w:sz w:val="22"/>
          <w:szCs w:val="22"/>
          <w:highlight w:val="none"/>
        </w:rPr>
      </w:pPr>
      <w:r>
        <w:rPr>
          <w:rFonts w:hint="eastAsia" w:ascii="仿宋" w:hAnsi="仿宋" w:eastAsia="仿宋" w:cs="仿宋"/>
          <w:b w:val="0"/>
          <w:bCs w:val="0"/>
          <w:sz w:val="22"/>
          <w:szCs w:val="22"/>
          <w:highlight w:val="none"/>
        </w:rPr>
        <w:t>备注：</w:t>
      </w:r>
    </w:p>
    <w:p>
      <w:pPr>
        <w:pStyle w:val="15"/>
        <w:rPr>
          <w:rFonts w:hint="eastAsia" w:ascii="仿宋" w:hAnsi="仿宋" w:eastAsia="仿宋" w:cs="仿宋"/>
          <w:b w:val="0"/>
          <w:bCs w:val="0"/>
          <w:sz w:val="22"/>
          <w:szCs w:val="22"/>
          <w:highlight w:val="none"/>
        </w:rPr>
      </w:pPr>
      <w:r>
        <w:rPr>
          <w:rFonts w:hint="eastAsia" w:ascii="仿宋" w:hAnsi="仿宋" w:eastAsia="仿宋" w:cs="仿宋"/>
          <w:b w:val="0"/>
          <w:bCs w:val="0"/>
          <w:sz w:val="22"/>
          <w:szCs w:val="22"/>
          <w:highlight w:val="none"/>
        </w:rPr>
        <w:t>1.取得</w:t>
      </w:r>
      <w:r>
        <w:rPr>
          <w:rFonts w:hint="eastAsia" w:ascii="仿宋" w:hAnsi="仿宋" w:eastAsia="仿宋" w:cs="仿宋"/>
          <w:b w:val="0"/>
          <w:bCs w:val="0"/>
          <w:sz w:val="22"/>
          <w:szCs w:val="22"/>
          <w:highlight w:val="none"/>
          <w:lang w:eastAsia="zh-CN"/>
        </w:rPr>
        <w:t>《国家电网有限公司集中规模招标采购供应商资质能力核实证明》或《国网智能科技股份有限公司集中规模招标采购供应商资质能力核实证明》</w:t>
      </w:r>
      <w:r>
        <w:rPr>
          <w:rFonts w:hint="eastAsia" w:ascii="仿宋" w:hAnsi="仿宋" w:eastAsia="仿宋" w:cs="仿宋"/>
          <w:b w:val="0"/>
          <w:bCs w:val="0"/>
          <w:sz w:val="22"/>
          <w:szCs w:val="22"/>
          <w:highlight w:val="none"/>
        </w:rPr>
        <w:t>（以下简称《核实证明》）的投标人，应按要求使用该《核实证明》。《核实证明》含有的业绩、试验报告不能满足招标文件要求的，需要提供满足要求的业绩、试验报告等证明材料；未取得《核实证明》的，投标人需要提供对应支持证明材料。</w:t>
      </w:r>
    </w:p>
    <w:p>
      <w:pPr>
        <w:pStyle w:val="15"/>
        <w:tabs>
          <w:tab w:val="left" w:pos="625"/>
        </w:tabs>
        <w:rPr>
          <w:rFonts w:hint="eastAsia" w:ascii="仿宋" w:hAnsi="仿宋" w:eastAsia="仿宋" w:cs="仿宋"/>
          <w:b w:val="0"/>
          <w:bCs w:val="0"/>
          <w:sz w:val="22"/>
          <w:szCs w:val="22"/>
          <w:highlight w:val="none"/>
        </w:rPr>
      </w:pPr>
      <w:r>
        <w:rPr>
          <w:rFonts w:hint="eastAsia" w:ascii="仿宋" w:hAnsi="仿宋" w:eastAsia="仿宋" w:cs="仿宋"/>
          <w:b w:val="0"/>
          <w:bCs w:val="0"/>
          <w:sz w:val="22"/>
          <w:szCs w:val="22"/>
          <w:highlight w:val="none"/>
        </w:rPr>
        <w:t>2.投标文件中提供的证明材料复印件应复印清晰、可辨认且不得遮盖、涂抹，否则视为无效。</w:t>
      </w:r>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mZDMzM2YxZWEwODNkZTM2ZjNiZDczOTVhYTdlMDMifQ=="/>
    <w:docVar w:name="KSO_WPS_MARK_KEY" w:val="8eee2dc2-f4fa-41e6-b04b-776781f5929a"/>
  </w:docVars>
  <w:rsids>
    <w:rsidRoot w:val="00090E29"/>
    <w:rsid w:val="00090E29"/>
    <w:rsid w:val="00096144"/>
    <w:rsid w:val="000C018A"/>
    <w:rsid w:val="0013644E"/>
    <w:rsid w:val="001855CA"/>
    <w:rsid w:val="003266DE"/>
    <w:rsid w:val="003F2197"/>
    <w:rsid w:val="0050209C"/>
    <w:rsid w:val="00546C4D"/>
    <w:rsid w:val="0056369E"/>
    <w:rsid w:val="006004F0"/>
    <w:rsid w:val="00611B0C"/>
    <w:rsid w:val="006B5136"/>
    <w:rsid w:val="006D1C5C"/>
    <w:rsid w:val="007A0757"/>
    <w:rsid w:val="007D28B6"/>
    <w:rsid w:val="008B14B2"/>
    <w:rsid w:val="008B7C97"/>
    <w:rsid w:val="008E1E8A"/>
    <w:rsid w:val="008E369A"/>
    <w:rsid w:val="00B93A79"/>
    <w:rsid w:val="00BA7EA8"/>
    <w:rsid w:val="00C80E50"/>
    <w:rsid w:val="00D16E51"/>
    <w:rsid w:val="00D4130D"/>
    <w:rsid w:val="00D65A7A"/>
    <w:rsid w:val="00DA55CC"/>
    <w:rsid w:val="00E16677"/>
    <w:rsid w:val="00EE78CF"/>
    <w:rsid w:val="00F151A4"/>
    <w:rsid w:val="00F25139"/>
    <w:rsid w:val="00F56925"/>
    <w:rsid w:val="014043A2"/>
    <w:rsid w:val="01C46A49"/>
    <w:rsid w:val="03AE5E0E"/>
    <w:rsid w:val="04FC416D"/>
    <w:rsid w:val="056A1771"/>
    <w:rsid w:val="06816373"/>
    <w:rsid w:val="0876413A"/>
    <w:rsid w:val="089F22C8"/>
    <w:rsid w:val="0906460D"/>
    <w:rsid w:val="091E3A91"/>
    <w:rsid w:val="09E04429"/>
    <w:rsid w:val="0A3001E0"/>
    <w:rsid w:val="0AB37329"/>
    <w:rsid w:val="0B6D73F9"/>
    <w:rsid w:val="0BC04CF3"/>
    <w:rsid w:val="0BD91152"/>
    <w:rsid w:val="0CDB468D"/>
    <w:rsid w:val="0DB95E90"/>
    <w:rsid w:val="0EA12E42"/>
    <w:rsid w:val="0F0570EE"/>
    <w:rsid w:val="0F2134B8"/>
    <w:rsid w:val="0F853369"/>
    <w:rsid w:val="0FB1516E"/>
    <w:rsid w:val="10077210"/>
    <w:rsid w:val="10A96506"/>
    <w:rsid w:val="11745D3C"/>
    <w:rsid w:val="11FC0675"/>
    <w:rsid w:val="143F4C50"/>
    <w:rsid w:val="146D2DFE"/>
    <w:rsid w:val="14BD7815"/>
    <w:rsid w:val="14EE61CB"/>
    <w:rsid w:val="1539292A"/>
    <w:rsid w:val="167F68EE"/>
    <w:rsid w:val="169A6592"/>
    <w:rsid w:val="17C76F5B"/>
    <w:rsid w:val="183F7C42"/>
    <w:rsid w:val="19F57C86"/>
    <w:rsid w:val="1A1442C1"/>
    <w:rsid w:val="1B224D55"/>
    <w:rsid w:val="1B3B1EBB"/>
    <w:rsid w:val="1BCA56F4"/>
    <w:rsid w:val="1BD229BC"/>
    <w:rsid w:val="1D514BA0"/>
    <w:rsid w:val="1EF10925"/>
    <w:rsid w:val="203577BE"/>
    <w:rsid w:val="20373F93"/>
    <w:rsid w:val="22966BB0"/>
    <w:rsid w:val="22D20AD3"/>
    <w:rsid w:val="246A6564"/>
    <w:rsid w:val="257A093C"/>
    <w:rsid w:val="26C9733C"/>
    <w:rsid w:val="26D04D02"/>
    <w:rsid w:val="27E6353A"/>
    <w:rsid w:val="283F1CD8"/>
    <w:rsid w:val="2894561A"/>
    <w:rsid w:val="28D36EDA"/>
    <w:rsid w:val="2910361F"/>
    <w:rsid w:val="29E71C19"/>
    <w:rsid w:val="2A6C66B0"/>
    <w:rsid w:val="2B7E4049"/>
    <w:rsid w:val="2BAE3592"/>
    <w:rsid w:val="2C5C438C"/>
    <w:rsid w:val="2D1A547B"/>
    <w:rsid w:val="2EFD36B1"/>
    <w:rsid w:val="2F5944A5"/>
    <w:rsid w:val="308B1E37"/>
    <w:rsid w:val="31BA0B13"/>
    <w:rsid w:val="32580053"/>
    <w:rsid w:val="32F0076D"/>
    <w:rsid w:val="32F60393"/>
    <w:rsid w:val="33DB0308"/>
    <w:rsid w:val="344E7D48"/>
    <w:rsid w:val="35A4703C"/>
    <w:rsid w:val="36A81F19"/>
    <w:rsid w:val="36CA60B6"/>
    <w:rsid w:val="376F090C"/>
    <w:rsid w:val="37AF7C77"/>
    <w:rsid w:val="38B81CA1"/>
    <w:rsid w:val="3A910FF4"/>
    <w:rsid w:val="3B0E674D"/>
    <w:rsid w:val="3B1F79D9"/>
    <w:rsid w:val="3B9138B1"/>
    <w:rsid w:val="3C1977CF"/>
    <w:rsid w:val="3C4E257E"/>
    <w:rsid w:val="3CC36B3B"/>
    <w:rsid w:val="3CCF6B42"/>
    <w:rsid w:val="3E114028"/>
    <w:rsid w:val="3E9B4698"/>
    <w:rsid w:val="3FB31195"/>
    <w:rsid w:val="40307062"/>
    <w:rsid w:val="405979E4"/>
    <w:rsid w:val="416B26FA"/>
    <w:rsid w:val="439E6864"/>
    <w:rsid w:val="43E01DD0"/>
    <w:rsid w:val="446245CF"/>
    <w:rsid w:val="45502443"/>
    <w:rsid w:val="455B308D"/>
    <w:rsid w:val="462E7CF2"/>
    <w:rsid w:val="476A5954"/>
    <w:rsid w:val="48DF58ED"/>
    <w:rsid w:val="494C2758"/>
    <w:rsid w:val="494E09BC"/>
    <w:rsid w:val="49721EC3"/>
    <w:rsid w:val="49845936"/>
    <w:rsid w:val="49A858B7"/>
    <w:rsid w:val="4A87279D"/>
    <w:rsid w:val="4B6127C6"/>
    <w:rsid w:val="4B6A1A87"/>
    <w:rsid w:val="4BDB43AD"/>
    <w:rsid w:val="4D444125"/>
    <w:rsid w:val="4DB36D12"/>
    <w:rsid w:val="4E0711EB"/>
    <w:rsid w:val="4F6858D7"/>
    <w:rsid w:val="4F70583A"/>
    <w:rsid w:val="507846AA"/>
    <w:rsid w:val="51427D66"/>
    <w:rsid w:val="52513C34"/>
    <w:rsid w:val="53791460"/>
    <w:rsid w:val="54216585"/>
    <w:rsid w:val="54980EB6"/>
    <w:rsid w:val="54E95C72"/>
    <w:rsid w:val="55656F9E"/>
    <w:rsid w:val="557F4DE1"/>
    <w:rsid w:val="55A579A1"/>
    <w:rsid w:val="55F54C7D"/>
    <w:rsid w:val="568B6C91"/>
    <w:rsid w:val="56B46D29"/>
    <w:rsid w:val="57857FF7"/>
    <w:rsid w:val="58765B48"/>
    <w:rsid w:val="5AC040F1"/>
    <w:rsid w:val="5C263591"/>
    <w:rsid w:val="5C2D449E"/>
    <w:rsid w:val="5C3E77E9"/>
    <w:rsid w:val="5CDC1B37"/>
    <w:rsid w:val="5DA22CDF"/>
    <w:rsid w:val="5EC86D9B"/>
    <w:rsid w:val="5F9C524B"/>
    <w:rsid w:val="5FF27BF4"/>
    <w:rsid w:val="60A05C01"/>
    <w:rsid w:val="60E859F0"/>
    <w:rsid w:val="62922A0B"/>
    <w:rsid w:val="632B03E5"/>
    <w:rsid w:val="633B3238"/>
    <w:rsid w:val="63400718"/>
    <w:rsid w:val="635B58CF"/>
    <w:rsid w:val="65731BB8"/>
    <w:rsid w:val="65870405"/>
    <w:rsid w:val="659F3FA8"/>
    <w:rsid w:val="65D753CD"/>
    <w:rsid w:val="676906D7"/>
    <w:rsid w:val="67987117"/>
    <w:rsid w:val="68E967E2"/>
    <w:rsid w:val="69481F1D"/>
    <w:rsid w:val="6A33220F"/>
    <w:rsid w:val="6AE94418"/>
    <w:rsid w:val="6B0033F1"/>
    <w:rsid w:val="6B19454A"/>
    <w:rsid w:val="6B6E095E"/>
    <w:rsid w:val="6CF1193D"/>
    <w:rsid w:val="6D1822F8"/>
    <w:rsid w:val="6DFD1A82"/>
    <w:rsid w:val="6E02003D"/>
    <w:rsid w:val="6E02774C"/>
    <w:rsid w:val="6E1718FD"/>
    <w:rsid w:val="6F654A89"/>
    <w:rsid w:val="6FAF14A2"/>
    <w:rsid w:val="7014228B"/>
    <w:rsid w:val="702D53B9"/>
    <w:rsid w:val="703525D6"/>
    <w:rsid w:val="703649A1"/>
    <w:rsid w:val="72CA25D7"/>
    <w:rsid w:val="735E7233"/>
    <w:rsid w:val="74BC40BA"/>
    <w:rsid w:val="75FF703D"/>
    <w:rsid w:val="76475D36"/>
    <w:rsid w:val="768176EC"/>
    <w:rsid w:val="77C90C27"/>
    <w:rsid w:val="77F03460"/>
    <w:rsid w:val="78305C20"/>
    <w:rsid w:val="786E1F54"/>
    <w:rsid w:val="78E00C4B"/>
    <w:rsid w:val="79285B16"/>
    <w:rsid w:val="7A387BE2"/>
    <w:rsid w:val="7AF431F7"/>
    <w:rsid w:val="7B3A67BA"/>
    <w:rsid w:val="7C071D5E"/>
    <w:rsid w:val="7C0A0245"/>
    <w:rsid w:val="7C1E0984"/>
    <w:rsid w:val="7C404AB6"/>
    <w:rsid w:val="7D0A606C"/>
    <w:rsid w:val="7DF050B2"/>
    <w:rsid w:val="7EC421EB"/>
    <w:rsid w:val="7EE54684"/>
    <w:rsid w:val="7FF868B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3"/>
    <w:autoRedefine/>
    <w:qFormat/>
    <w:uiPriority w:val="0"/>
    <w:pPr>
      <w:jc w:val="center"/>
      <w:outlineLvl w:val="0"/>
    </w:pPr>
    <w:rPr>
      <w:b/>
      <w:kern w:val="44"/>
      <w:sz w:val="44"/>
    </w:rPr>
  </w:style>
  <w:style w:type="paragraph" w:styleId="4">
    <w:name w:val="heading 2"/>
    <w:basedOn w:val="1"/>
    <w:next w:val="1"/>
    <w:autoRedefine/>
    <w:qFormat/>
    <w:uiPriority w:val="0"/>
    <w:pPr>
      <w:keepNext/>
      <w:keepLines/>
      <w:topLinePunct/>
      <w:adjustRightInd w:val="0"/>
      <w:snapToGrid w:val="0"/>
      <w:spacing w:beforeLines="80" w:afterLines="80"/>
      <w:outlineLvl w:val="1"/>
    </w:pPr>
    <w:rPr>
      <w:rFonts w:ascii="Arial" w:hAnsi="Arial" w:eastAsia="黑体"/>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unhideWhenUsed/>
    <w:qFormat/>
    <w:uiPriority w:val="0"/>
    <w:pPr>
      <w:spacing w:after="120"/>
    </w:pPr>
  </w:style>
  <w:style w:type="paragraph" w:styleId="5">
    <w:name w:val="Balloon Text"/>
    <w:basedOn w:val="1"/>
    <w:link w:val="16"/>
    <w:autoRedefine/>
    <w:semiHidden/>
    <w:unhideWhenUsed/>
    <w:qFormat/>
    <w:uiPriority w:val="99"/>
    <w:rPr>
      <w:sz w:val="18"/>
      <w:szCs w:val="18"/>
    </w:rPr>
  </w:style>
  <w:style w:type="paragraph" w:styleId="6">
    <w:name w:val="footer"/>
    <w:basedOn w:val="1"/>
    <w:link w:val="12"/>
    <w:autoRedefine/>
    <w:unhideWhenUsed/>
    <w:qFormat/>
    <w:uiPriority w:val="99"/>
    <w:pPr>
      <w:tabs>
        <w:tab w:val="center" w:pos="4153"/>
        <w:tab w:val="right" w:pos="8306"/>
      </w:tabs>
      <w:snapToGrid w:val="0"/>
      <w:jc w:val="left"/>
    </w:pPr>
    <w:rPr>
      <w:sz w:val="18"/>
      <w:szCs w:val="18"/>
    </w:rPr>
  </w:style>
  <w:style w:type="paragraph" w:styleId="7">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Hyperlink"/>
    <w:autoRedefine/>
    <w:qFormat/>
    <w:uiPriority w:val="99"/>
    <w:rPr>
      <w:color w:val="0000FF"/>
      <w:u w:val="single"/>
    </w:rPr>
  </w:style>
  <w:style w:type="character" w:customStyle="1" w:styleId="11">
    <w:name w:val="页眉 Char"/>
    <w:basedOn w:val="9"/>
    <w:link w:val="7"/>
    <w:autoRedefine/>
    <w:qFormat/>
    <w:uiPriority w:val="99"/>
    <w:rPr>
      <w:sz w:val="18"/>
      <w:szCs w:val="18"/>
    </w:rPr>
  </w:style>
  <w:style w:type="character" w:customStyle="1" w:styleId="12">
    <w:name w:val="页脚 Char"/>
    <w:basedOn w:val="9"/>
    <w:link w:val="6"/>
    <w:autoRedefine/>
    <w:qFormat/>
    <w:uiPriority w:val="99"/>
    <w:rPr>
      <w:sz w:val="18"/>
      <w:szCs w:val="18"/>
    </w:rPr>
  </w:style>
  <w:style w:type="character" w:customStyle="1" w:styleId="13">
    <w:name w:val="标题 1 Char"/>
    <w:basedOn w:val="9"/>
    <w:link w:val="3"/>
    <w:autoRedefine/>
    <w:qFormat/>
    <w:uiPriority w:val="0"/>
    <w:rPr>
      <w:rFonts w:ascii="Times New Roman" w:hAnsi="Times New Roman" w:eastAsia="宋体" w:cs="Times New Roman"/>
      <w:b/>
      <w:kern w:val="44"/>
      <w:sz w:val="44"/>
      <w:szCs w:val="20"/>
    </w:rPr>
  </w:style>
  <w:style w:type="paragraph" w:customStyle="1" w:styleId="14">
    <w:name w:val="本文正文"/>
    <w:basedOn w:val="1"/>
    <w:autoRedefine/>
    <w:qFormat/>
    <w:uiPriority w:val="0"/>
    <w:pPr>
      <w:tabs>
        <w:tab w:val="left" w:pos="630"/>
      </w:tabs>
      <w:topLinePunct/>
      <w:adjustRightInd w:val="0"/>
      <w:spacing w:line="360" w:lineRule="exact"/>
    </w:pPr>
    <w:rPr>
      <w:color w:val="000000"/>
    </w:rPr>
  </w:style>
  <w:style w:type="paragraph" w:customStyle="1" w:styleId="15">
    <w:name w:val="Normal_1"/>
    <w:autoRedefine/>
    <w:qFormat/>
    <w:uiPriority w:val="0"/>
    <w:pPr>
      <w:widowControl w:val="0"/>
      <w:jc w:val="both"/>
    </w:pPr>
    <w:rPr>
      <w:rFonts w:ascii="Times New Roman" w:hAnsi="Times New Roman" w:eastAsia="宋体" w:cs="Times New Roman"/>
      <w:lang w:val="en-US" w:eastAsia="zh-CN" w:bidi="ar-SA"/>
    </w:rPr>
  </w:style>
  <w:style w:type="character" w:customStyle="1" w:styleId="16">
    <w:name w:val="批注框文本 Char"/>
    <w:basedOn w:val="9"/>
    <w:link w:val="5"/>
    <w:autoRedefine/>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3985</Words>
  <Characters>4541</Characters>
  <Lines>28</Lines>
  <Paragraphs>8</Paragraphs>
  <TotalTime>0</TotalTime>
  <ScaleCrop>false</ScaleCrop>
  <LinksUpToDate>false</LinksUpToDate>
  <CharactersWithSpaces>4570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2021-02-01T07:32:00Z</dcterms:created>
  <dc:creator>CX2020111</dc:creator>
  <cp:lastModifiedBy>北辰</cp:lastModifiedBy>
  <dcterms:modified xsi:type="dcterms:W3CDTF">2024-05-24T12:47:51Z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9C51945DA9BA42AA8B069E1E096A1AB0_13</vt:lpwstr>
  </property>
</Properties>
</file>