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3A624">
      <w:pPr>
        <w:adjustRightInd w:val="0"/>
        <w:snapToGrid w:val="0"/>
        <w:spacing w:beforeLines="100" w:afterLines="50" w:line="400" w:lineRule="exact"/>
        <w:outlineLvl w:val="1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采购公告附件：</w:t>
      </w:r>
    </w:p>
    <w:tbl>
      <w:tblPr>
        <w:tblStyle w:val="5"/>
        <w:tblW w:w="0" w:type="auto"/>
        <w:tblInd w:w="1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211"/>
        <w:gridCol w:w="5084"/>
        <w:gridCol w:w="474"/>
        <w:gridCol w:w="584"/>
        <w:gridCol w:w="710"/>
        <w:gridCol w:w="695"/>
        <w:gridCol w:w="758"/>
        <w:gridCol w:w="2200"/>
      </w:tblGrid>
      <w:tr w14:paraId="17615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E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1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4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主要技术要求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D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9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9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交货日期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6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质保期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1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交货地点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A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专用业绩要求</w:t>
            </w:r>
          </w:p>
        </w:tc>
      </w:tr>
      <w:tr w14:paraId="3762B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A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运动模组、充电模组等研发材料采购项目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B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右前腿运动模组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4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重量：小于8kg，尺寸小于600mm×400mm×300mm，材质铝合金、P20等，中心右前摆角度-22°～120°，右前侧转动-22°～22°；表面120目处理，轴部传动精度±0.03mm，关节活动范围大于70度，传动方式：连杆。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B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E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8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2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9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D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年1月1日至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招标采购公告发布日止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完成过机器人组部件或电子元器件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业绩不少于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份，合同额累计不少于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万。注：业绩必须提供对应的合同复印件。</w:t>
            </w:r>
          </w:p>
        </w:tc>
      </w:tr>
      <w:tr w14:paraId="6C5F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B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F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左前腿运动模组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1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重量：小于8kg，尺寸小于600mm×400mm×300mm，中心左前摆角度-22°～120°，左前侧转动角度-22°～22°；材质铝合金、P20等，表面120目处理，轴部传动精度±0.03mm，关节活动范围大于70度，传动方式：连杆。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2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B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3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2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6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9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52F4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D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B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右后腿运动模组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3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重量：小于8kg，尺寸小于600mm×400mm×300mm，右后摆角度-22°～120°，右后侧转动角度-22°～22°；材质铝合金、P20等，表面120目处理，轴部传动精度±0.03mm，关节活动范围大于70度，传动方式：连杆。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6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1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C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7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E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0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16B7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1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A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左后腿运动模组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E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重量：小于8kg，尺寸小于600mm×400mm×300mm，左后摆角度-22°～120°，左后侧转动角度-22°～22°；材质铝合金、P20等，表面120目处理，轴部传动精度±0.03mm，关节活动范围大于70度，传动方式：连杆。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9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9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B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C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A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7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9A1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6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6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腔体连接组件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F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重量：小于7kg，尺寸小于300mm×200mm×200mm，前后连接腿部模组，前后支持角度范围不小于-50°～80°摆动范围，左后支持角度不小于-22°～22°；材质铝合金，表面120目处理。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4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8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4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7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B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0E0A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C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5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底部充电连接组件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2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重量：小于5kg，尺寸小于400mm×300mm×200mm，充电方式：前后两侧双电极充电，充电底部绝缘，内部上下可缓冲，缓冲距离0～6mm，表面120目处理，材质铝合金、紫铜等。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6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A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F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A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0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5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67F9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6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6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充电模组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7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重量：小于5kg，尺寸小于400mm×400mm×100mm，前后支持双电极充电，底部绝缘，含静电释放，释放距离2～10mm，材质：尼龙，65Mn等。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6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4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C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D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7EDA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7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5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腔体安装模组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0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重量：小于10kg，尺寸小于500mm×400mm×400mm，可扩展安装云台组件，承重不低于20kg,前后扩展电机调试、电源调试、交换机、网桥调试接口，内部含运动主机、感知主机调试接口，可进行丁晴密封等。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0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9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1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3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1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A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AFB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6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6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云台上装模组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C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重量：小于5kg，尺寸小于400mm×400mm×400mm，上下支持角度范围不小于-80°～80°摆动范围，左后支持角度不小于-170°～170°；材质铝合金，表面120目处理。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8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4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7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E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0D7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9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4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4芯网线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8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拖链型／／4芯超五类SFTP／／双屏蔽／／导体：11根0.16mm／／线芯外径：0.95mm／／总外径：5.5mm／／线芯颜色：橙白、橙、绿白、绿／／线外皮颜色：绿色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4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0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A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6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F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FC7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E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F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RV单芯多股软芯线（蓝色2.5平）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9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RV型//颜色：蓝色//规格：2.5平方//外径：3.5mm//导体结构：78根*0.17mm²铜丝//导体：无氧铜。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5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9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1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D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8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B79D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E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8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黑、蓝，红、黄（屏蔽）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3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Trvvsp，芯数：2x2x0.3mm²，屏蔽线双绞控制信号线，内芯线色：黑色、蓝色，红色、黄色，内芯直径：1.15mm，线缆外径：5.6mm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4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0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A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9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7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C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8F1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0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8芯网线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9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拖链型，8芯超五类SFTP，双屏蔽，导体：11根0.16mm，线芯外径：0.95mm，总外径：6.4mm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E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E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D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A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2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6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C6B7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C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B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充电电路板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1、电源输入12V 2、带有适配器通断输入输出接口 3、带有AC电源通断输入输出接口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B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2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0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6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553A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B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5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两路无线遥控开关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9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双路模块+500米遥控器（三键）//6-24V//接收频率433MHZ//外壳尺寸39×35×25（±0.5mm）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B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2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A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F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D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7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336E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1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无线充电模组接收主机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5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防护等级不低于IP66//175.6×65×45（±0.5mm）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D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6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D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9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8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2774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0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无线充电模组接收盘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B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防护等级不低于IP54//120×120×22（±0.5mm）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3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7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1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5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B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1DB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B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E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绝缘辅助支架1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A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黑色绝缘材料//表面打磨光滑后喷黑漆//含定位板//长宽高：340×260×40mm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2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4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2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C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1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BA76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C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绝缘辅助支架2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7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黑色绝缘材料//表面打磨光滑后喷黑漆//含定位板//长宽高：340×60×40mm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7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0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5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2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1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7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7A7F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E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7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固定金具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4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304不锈钢,外包绝缘层//适应M5、M6、M8六角螺母 //12角//高42mm//强磁性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8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C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B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5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F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CA2D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7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E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镜头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单镜头//6颗可调节LED灯//D3.9mm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3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6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F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8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A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AB93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F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7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液晶显示屏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4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5英寸真彩液晶显示器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C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E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3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6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D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BCE4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2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E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主控电路板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0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可拍照//可录像//可画面翻转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0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6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8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E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D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4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8E20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5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5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显示屏底座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6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表面绝缘塑料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5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F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D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1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8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445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8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充电器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6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5V//2A//type C充电线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0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F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8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F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D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6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A8B0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1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绝缘护套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4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绝缘//D30mm//长105mm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3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1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7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9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2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1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CDDD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2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8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绝缘起架1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F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六方（6mm、8mm、10mm）//绝缘低压//强磁性//长150mm//起子接口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8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E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C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4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7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4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3413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0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E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绝缘起架2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5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一字、十字//绝缘低压//强磁性//长150mm//起子接口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7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B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7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5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E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D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8BA5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9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电动起子机1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A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耐低压//折叠型//内置电池//充电器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E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8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3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F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8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6566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6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B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电动起子机2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8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耐低压//电池//充电器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D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2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3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2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2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B3EE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A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6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绝缘磁吸起架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4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低压绝缘//强磁性//长180mm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A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C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8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C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0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C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1C9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1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带手柄的绝缘起架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5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一字//绝缘低压//长180mm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5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8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A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0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8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B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1351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D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带手柄的T型绝缘起架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E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六方（6mm、8mm、10mm）//绝缘低压//T型 //长240mm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C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9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E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1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F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7A2D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D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B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包装箱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9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黑色带拉杆包装箱//660×499×329mm//内衬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3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5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8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A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D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6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E1A8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4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4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三相电表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A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电压要求：3×220/380V，3×57.7/100V，3×100V；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标称频率：50Hz；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功率消耗：电压线路 有功功率≤1.5W，视在功率≤6VA；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电流线路 互感器接入式≤0.2VA; 直接接入式≤0.4VA。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4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5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6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9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5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A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AEE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8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D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单相电表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9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电压要求：单相220V；220V/0.25-0.5(60)A；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电流要求：按 Imin-Itr(Imax)（Imin、Itr、Imax 分别为最小电流、转折电流、最大电流）格式分别为：0.25-0.5(60)A、0.5-1(100)A；通信协议：DL/T 698.45；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通信协议：DL/T 698.45；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通信接口：支持 1 路红外通信接口、1 路 RS485 通信接口和 1 路模块接口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6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3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4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3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D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68C4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C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5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集中器Ⅰ型外壳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0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(1)材料：ABS(2)技术要求：按图加工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B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2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8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6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9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5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6254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2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C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集中器Ⅰ型控制板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C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电源要求：采用工频交流电源，工作电源电压允许偏差为额定值的-20％～+20％；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功耗要求：静态功耗≤0.8W；平均动态功耗≤6W；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工作频带：基本通信频段应满足470MHz~510MHz。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调制方式：制方式应支持OFDM调制方式，子载波映射方式应支持BPSK、QPSK、16QAM。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通信速率：在隔离电源、屏蔽空间环境、无竞争场景、主从节点1:1配比、测试物理层数据包大小512与1024字节时，通信速率不应小于1Mbps。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工作温度：-40ºC～70ºC。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E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A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B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7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2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0A8F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9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7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双模单相通信模块外壳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5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(1)材料：ABS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(2)技术要求：按图加工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B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D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6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2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9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D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260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C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6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双模单相通信控制板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8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电源要求：采用直流电源，电压允许范围：11~24V；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功耗要求：静态功耗≤0.25W；平均动态功耗≤2W；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工作频带：基本通信频段应满足470MHz~510MHz。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调制方式：制方式应支持OFDM调制方式，子载波映射方式应支持BPSK、QPSK、16QAM。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通信速率：在隔离电源、屏蔽空间环境、无竞争场景、主从节点1:1配比、测试物理层数据包大小512与1024字节时，通信速率不应小于1Mbps。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工作温度：-40ºC～70ºC。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C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1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6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B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0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54C9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B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双模三相通信模块外壳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(1)材料：ABS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(2)技术要求：按图加工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3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E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3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1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B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B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652F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5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5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双模三相通信模块控制板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4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电源要求：采用直流电源，电压允许范围：11~24V；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功耗要求：静态功耗≤0.5W；平均动态功耗≤2.5W；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工作频带：基本通信频段应满足470MHz~510MHz。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调制方式：制方式应支持OFDM调制方式，子载波映射方式应支持BPSK、QPSK、16QAM。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通信速率：在隔离电源、屏蔽空间环境、无竞争场景、主从节点1:1配比、测试物理层数据包大小512与1024字节时，通信速率不应小于1Mbps。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工作温度：-40ºC～70ºC。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5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A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C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3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6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1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B9E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8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E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规约转换器外壳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8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(1)材料：ABS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(2)技术要求：按图加工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D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A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B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D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9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F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F1A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E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规约转换器控制板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B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电源要求：额定电压为：AC 220V，允许偏差为-20%~+50%；频率：50Hz，允许偏差为-6％～+2％。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功率消耗：在非通信状态下，视在功率应不大于5VA，有功功率不大于2W；在通信状态下，有功功率不大于3W。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性能指标：CPU主频不低于32MHz，内存不低于32kByte。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通信接口：2路RS-485通信接口；2路RJ-45接口，；具备蓝牙接口。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工作温度：-40ºC～70ºC。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4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1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5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6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8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27F9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4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E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能源控制器外壳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A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(1)材料：ABS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(2)技术要求：按图加工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E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D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6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A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B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742A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6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A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能源控制器控制板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A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电源要求：交流三相四线制供电，在系统故障（三相四线供电时任断二相电）时，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交流电源可供终端正常工作；100V允许偏差-20％～+20％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功耗要求：在非通信状态下，终端三相消耗的视在功率应不大于25VA、有功功率应不大于15W；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性能要求：CPU主频不低于800MHz，内存不低于512MByte，FLASH不低于4GByte。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通信接口：1个RJ-45接口或光纤通信接口，调试维护接口为蓝牙和USB接口，具备标准功能模块接口。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工作温度：-40ºC～70ºC。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9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E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9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4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77EB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6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E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通讯板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2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1、具备蓝牙通讯功能。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2、内置HPLC通信模块，符合国网互联互通HPLC双模通信标准，具备电力线载波与无线双模通讯。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3、RJ45接口≥1路；RS-485≥2路，最大通信速率不低于115200bps。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A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2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6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4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35E9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1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C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智能用电计量模块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1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1、用电测量功能：电流、电压、功率。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2、具备时钟秒脉冲输出、电能脉冲输出。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3、具备电能质量监测、漏电电流采集、防孤岛保护功能。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4、有功电量：准确度不低于0.5s级。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F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4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6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F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2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E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D42A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C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2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控制单元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D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1、CPU主频≥150MHz，内存≥200kByte。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2、具备过载保护、短路保护、过压保护、欠压保护、失压保护等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3、具备远程分合闸控制，支持光伏柔性、刚性控制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4、时钟支持校时，每天校准一次，时差不能超过5分钟。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C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9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A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5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B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0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A4FD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F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B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开关模组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B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1、热磁式脱扣、电子式脱扣开关方式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2、保护功能：过载保护、短路保护、自动分合闸、隔离。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3、规格：4P；模数：≤18mm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4、额定电流：100A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5、额定电压：AC 220V/380V，50Hz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E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2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1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C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1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0B1D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3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C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外壳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5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1、外壳阻燃要求不低于V0级；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2、具备能够抵抗8kv静电放电的能力，配备阻燃灭弧片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3、防护等级:IP20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4、外观尺寸：不大于105mm×100mm×80mm（长×宽×高）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6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0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E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1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F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1F2AF48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0A31EC93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</w:t>
      </w:r>
    </w:p>
    <w:p w14:paraId="0BFEBDC3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备注：</w:t>
      </w:r>
    </w:p>
    <w:p w14:paraId="5C3F71A5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或《国网智能科技股份有限公司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集中规模招标采购供应商资质能力核实证明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（以下简称《核实证明》）的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按要求使用该《核实证明》。《核实证明》含有的业绩、试验报告不能满足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要求的，需要提供满足要求的业绩、试验报告等证明材料；未取得《核实证明》的，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需要提供对应支持证明材料。</w:t>
      </w:r>
    </w:p>
    <w:p w14:paraId="5CDC9309"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中提供的证明材料复印件应复印清晰、可辨认且不得遮盖、涂抹，否则视为无效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E1BEA">
    <w:pPr>
      <w:pStyle w:val="3"/>
      <w:spacing w:beforeLines="0" w:afterLines="0"/>
      <w:ind w:firstLine="360"/>
      <w:jc w:val="center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706E8C">
                          <w:pPr>
                            <w:pStyle w:val="3"/>
                            <w:spacing w:beforeLines="0" w:afterLines="0"/>
                            <w:ind w:firstLine="360"/>
                            <w:jc w:val="center"/>
                          </w:pP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t>97</w: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706E8C">
                    <w:pPr>
                      <w:pStyle w:val="3"/>
                      <w:spacing w:beforeLines="0" w:afterLines="0"/>
                      <w:ind w:firstLine="360"/>
                      <w:jc w:val="center"/>
                    </w:pP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t>97</w: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BA30752">
    <w:pPr>
      <w:pStyle w:val="2"/>
      <w:spacing w:beforeLines="0" w:afterLines="0" w:line="14" w:lineRule="auto"/>
      <w:ind w:firstLine="240"/>
      <w:rPr>
        <w:rFonts w:hint="default"/>
        <w:sz w:val="1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D4510">
    <w:pPr>
      <w:pStyle w:val="4"/>
      <w:pBdr>
        <w:bottom w:val="none" w:color="auto" w:sz="0" w:space="0"/>
      </w:pBdr>
      <w:spacing w:beforeLines="0" w:afterLines="0"/>
      <w:ind w:firstLine="36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121A6680"/>
    <w:rsid w:val="145B03B7"/>
    <w:rsid w:val="14C56718"/>
    <w:rsid w:val="1AD67034"/>
    <w:rsid w:val="1CE25720"/>
    <w:rsid w:val="1D105CD9"/>
    <w:rsid w:val="1D581B28"/>
    <w:rsid w:val="20C0137D"/>
    <w:rsid w:val="268639CC"/>
    <w:rsid w:val="29614FC6"/>
    <w:rsid w:val="2B3202B6"/>
    <w:rsid w:val="2CBF5B79"/>
    <w:rsid w:val="2FE42AFC"/>
    <w:rsid w:val="321C75CA"/>
    <w:rsid w:val="3709636F"/>
    <w:rsid w:val="39444C4F"/>
    <w:rsid w:val="46ED73AD"/>
    <w:rsid w:val="482A26BE"/>
    <w:rsid w:val="4A05330E"/>
    <w:rsid w:val="4F6507F6"/>
    <w:rsid w:val="58F775DB"/>
    <w:rsid w:val="5A0C2BCB"/>
    <w:rsid w:val="5EF64196"/>
    <w:rsid w:val="616B35FF"/>
    <w:rsid w:val="67587252"/>
    <w:rsid w:val="67F529D1"/>
    <w:rsid w:val="7637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文本2"/>
    <w:basedOn w:val="1"/>
    <w:autoRedefine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paragraph" w:customStyle="1" w:styleId="8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9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7386</Words>
  <Characters>8898</Characters>
  <Lines>0</Lines>
  <Paragraphs>0</Paragraphs>
  <TotalTime>3</TotalTime>
  <ScaleCrop>false</ScaleCrop>
  <LinksUpToDate>false</LinksUpToDate>
  <CharactersWithSpaces>8951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2024-08-01T08:57:00Z</dcterms:created>
  <dc:creator>DELL</dc:creator>
  <cp:lastModifiedBy>WPS_1555299874</cp:lastModifiedBy>
  <dcterms:modified xsi:type="dcterms:W3CDTF">2024-11-29T08:57:02Z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DEDBD16E872E4B02AF04F3BEAF8132DD_13</vt:lpwstr>
  </property>
</Properties>
</file>