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EF7B">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招标需求一览表</w:t>
      </w:r>
    </w:p>
    <w:tbl>
      <w:tblPr>
        <w:tblStyle w:val="6"/>
        <w:tblW w:w="13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844"/>
        <w:gridCol w:w="5511"/>
        <w:gridCol w:w="600"/>
        <w:gridCol w:w="653"/>
        <w:gridCol w:w="889"/>
        <w:gridCol w:w="1211"/>
        <w:gridCol w:w="846"/>
        <w:gridCol w:w="2263"/>
      </w:tblGrid>
      <w:tr w14:paraId="041E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B1C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E87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23A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09B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D39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456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AE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DA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248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3A74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4E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双模通信模组、分布式接入单元等采购项目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0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光伏设备数据交互模组</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FEA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（1）工作电源由电能表提供，工作电压（5±0.25）V，最大峰值电流不应超过200mA；</w:t>
            </w:r>
          </w:p>
          <w:p w14:paraId="04409406">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（2）模组可与任何符合型式规范尺寸和接口要求的电能表相匹配，支持热插拔，满足功能、通信等相应兼容性要求；</w:t>
            </w:r>
          </w:p>
          <w:p w14:paraId="103D2CCC">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i w:val="0"/>
                <w:iCs w:val="0"/>
                <w:color w:val="000000"/>
                <w:kern w:val="0"/>
                <w:sz w:val="24"/>
                <w:szCs w:val="24"/>
                <w:highlight w:val="none"/>
                <w:u w:val="none"/>
                <w:lang w:val="en-US" w:eastAsia="zh-CN" w:bidi="ar"/>
              </w:rPr>
              <w:t>（3）模组与光伏设备通信，可查询与模组匹配的光伏设备信息；模组能够响应电能表的指令对光伏设备的发电功率进行调节；模组应具有兼容不同型号光伏设备映射关系的Modbus协议库，并能够在1分钟内实现协议的快速转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8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B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22706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6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27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restart"/>
            <w:tcBorders>
              <w:top w:val="single" w:color="000000" w:sz="4" w:space="0"/>
              <w:left w:val="single" w:color="000000" w:sz="4" w:space="0"/>
              <w:right w:val="single" w:color="000000" w:sz="4" w:space="0"/>
            </w:tcBorders>
            <w:shd w:val="clear" w:color="auto" w:fill="auto"/>
            <w:vAlign w:val="center"/>
          </w:tcPr>
          <w:p w14:paraId="038AB7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szCs w:val="24"/>
                <w:highlight w:val="none"/>
                <w14:textFill>
                  <w14:solidFill>
                    <w14:schemeClr w14:val="tx1"/>
                  </w14:solidFill>
                </w14:textFill>
              </w:rPr>
              <w:t>年1月1日至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招标采购公告发布日止，投标方完成过通信单元或规约转换器销售业绩</w:t>
            </w:r>
            <w:r>
              <w:rPr>
                <w:rFonts w:hint="eastAsia" w:ascii="宋体" w:hAnsi="宋体" w:eastAsia="宋体" w:cs="宋体"/>
                <w:color w:val="000000" w:themeColor="text1"/>
                <w:kern w:val="0"/>
                <w:sz w:val="24"/>
                <w:szCs w:val="24"/>
                <w:highlight w:val="none"/>
                <w14:textFill>
                  <w14:solidFill>
                    <w14:schemeClr w14:val="tx1"/>
                  </w14:solidFill>
                </w14:textFill>
              </w:rPr>
              <w:t>不少于2份，合同额累计不少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kern w:val="0"/>
                <w:sz w:val="24"/>
                <w:szCs w:val="24"/>
                <w:highlight w:val="none"/>
                <w14:textFill>
                  <w14:solidFill>
                    <w14:schemeClr w14:val="tx1"/>
                  </w14:solidFill>
                </w14:textFill>
              </w:rPr>
              <w:t>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kern w:val="0"/>
                <w:sz w:val="24"/>
                <w:szCs w:val="24"/>
                <w:highlight w:val="none"/>
                <w14:textFill>
                  <w14:solidFill>
                    <w14:schemeClr w14:val="tx1"/>
                  </w14:solidFill>
                </w14:textFill>
              </w:rPr>
              <w:t>。注：业绩必须提供对应的合同复印件</w:t>
            </w:r>
            <w:r>
              <w:rPr>
                <w:rFonts w:hint="eastAsia" w:ascii="宋体" w:hAnsi="宋体" w:eastAsia="宋体" w:cs="宋体"/>
                <w:color w:val="auto"/>
                <w:kern w:val="0"/>
                <w:sz w:val="24"/>
                <w:szCs w:val="24"/>
                <w:highlight w:val="none"/>
              </w:rPr>
              <w:t>。</w:t>
            </w:r>
          </w:p>
        </w:tc>
      </w:tr>
      <w:tr w14:paraId="72D9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left w:val="single" w:color="000000" w:sz="4" w:space="0"/>
              <w:right w:val="single" w:color="000000" w:sz="4" w:space="0"/>
            </w:tcBorders>
            <w:shd w:val="clear" w:color="auto" w:fill="auto"/>
            <w:vAlign w:val="center"/>
          </w:tcPr>
          <w:p w14:paraId="4F1CC3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A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光伏设备数据交互模组外壳</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D08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（1）外壳应有足够的强度，外物撞击造成的变形应不影响其正常工作。</w:t>
            </w:r>
          </w:p>
          <w:p w14:paraId="68AE5AE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（2）外壳防护性能应符合GB/T 4208—2017规定的IP51级要求，即防尘和防滴水。</w:t>
            </w:r>
          </w:p>
          <w:p w14:paraId="56BA199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（3）外壳应符合GB/T 5169.11—2017的阻燃要求，试验温度为650℃，试验时间为30s。</w:t>
            </w:r>
          </w:p>
          <w:p w14:paraId="1858D781">
            <w:pPr>
              <w:pStyle w:val="2"/>
              <w:pageBreakBefore w:val="0"/>
              <w:kinsoku/>
              <w:wordWrap/>
              <w:overflowPunct/>
              <w:topLinePunct w:val="0"/>
              <w:autoSpaceDE/>
              <w:autoSpaceDN/>
              <w:bidi w:val="0"/>
              <w:adjustRightInd/>
              <w:snapToGrid/>
              <w:spacing w:before="0" w:after="0" w:line="300" w:lineRule="exact"/>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（4）与光伏设备数据交互模组适配。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19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68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22706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60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8C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2C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028A8E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3C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387F">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D0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单相物联双模通信模组</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EC07">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单相物联双模通信模组：</w:t>
            </w:r>
          </w:p>
          <w:p w14:paraId="6FC8C0D5">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（1）工作电压应采用直流电源，工作电压允许范围：(12±1)V。</w:t>
            </w:r>
          </w:p>
          <w:p w14:paraId="7EB31271">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（2）工作状态下所产生的交流磁通密度小于0.5mT。</w:t>
            </w:r>
          </w:p>
          <w:p w14:paraId="5EA2D9C0">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（3）通信单元块在工作电源失电后，应由超级电容供电，维持正常工作时间不少于60s。</w:t>
            </w:r>
          </w:p>
          <w:p w14:paraId="1F8EB833">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（4）HPLC工作频带应为2MHz～12MHz、2.4MHz～5.6MHz、0.7MHz～3MHz、1.7MHz～3MHz，可支持切换使用。</w:t>
            </w:r>
          </w:p>
          <w:p w14:paraId="3C67FC07">
            <w:pPr>
              <w:pStyle w:val="14"/>
              <w:keepNext w:val="0"/>
              <w:keepLines w:val="0"/>
              <w:pageBreakBefore w:val="0"/>
              <w:numPr>
                <w:ilvl w:val="1"/>
                <w:numId w:val="0"/>
              </w:numPr>
              <w:tabs>
                <w:tab w:val="left" w:pos="1418"/>
                <w:tab w:val="clear" w:pos="57"/>
                <w:tab w:val="clear" w:pos="420"/>
              </w:tabs>
              <w:kinsoku/>
              <w:wordWrap/>
              <w:overflowPunct/>
              <w:autoSpaceDE/>
              <w:autoSpaceDN/>
              <w:bidi w:val="0"/>
              <w:adjustRightInd/>
              <w:spacing w:before="0" w:beforeLines="0" w:after="0" w:afterLines="0"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（5）HRF工作频带基本通信频段应满足470MHz ~510MHz</w:t>
            </w:r>
          </w:p>
          <w:p w14:paraId="685756E7">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（5）具备抄表、时钟管理、控制等功能。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45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D9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12976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ED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4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4F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2AE52F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6FD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015A7">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02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单相物联双模通信模组外壳</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DB1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（1）外壳应有足够的强度，外物撞击造成的变形应不影响其正常工作。</w:t>
            </w:r>
          </w:p>
          <w:p w14:paraId="36714B0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（2）外壳防护性能应符合GB/T 4208—2017规定的IP51级要求，即防尘和防滴水。</w:t>
            </w:r>
          </w:p>
          <w:p w14:paraId="27629BD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（3）外壳应符合GB/T 5169.11—2017的阻燃要求，试验温度为650℃，试验时间为30s。</w:t>
            </w:r>
          </w:p>
          <w:p w14:paraId="4091D3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（4）与</w:t>
            </w:r>
            <w:r>
              <w:rPr>
                <w:rFonts w:hint="eastAsia" w:ascii="宋体" w:hAnsi="宋体" w:eastAsia="宋体" w:cs="宋体"/>
                <w:i w:val="0"/>
                <w:iCs w:val="0"/>
                <w:color w:val="000000"/>
                <w:kern w:val="0"/>
                <w:sz w:val="24"/>
                <w:szCs w:val="24"/>
                <w:highlight w:val="none"/>
                <w:u w:val="none"/>
                <w:lang w:val="en-US" w:eastAsia="zh-CN" w:bidi="ar"/>
              </w:rPr>
              <w:t>单相物联双模通信模组</w:t>
            </w:r>
            <w:r>
              <w:rPr>
                <w:rFonts w:hint="eastAsia" w:ascii="宋体" w:hAnsi="宋体" w:eastAsia="宋体" w:cs="宋体"/>
                <w:b w:val="0"/>
                <w:bCs w:val="0"/>
                <w:i w:val="0"/>
                <w:iCs w:val="0"/>
                <w:color w:val="000000"/>
                <w:kern w:val="0"/>
                <w:sz w:val="24"/>
                <w:szCs w:val="24"/>
                <w:highlight w:val="none"/>
                <w:u w:val="none"/>
                <w:lang w:val="en-US" w:eastAsia="zh-CN" w:bidi="ar"/>
              </w:rPr>
              <w:t>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4B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E3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12976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2E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B6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26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08C594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2E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1EC5">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BC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三相物联双模通信模组</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2566">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三相物联双模通信模组：</w:t>
            </w:r>
          </w:p>
          <w:p w14:paraId="611CA369">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（1）工作电压应采用直流电源，工作电压允许范围：(12±1)V。</w:t>
            </w:r>
          </w:p>
          <w:p w14:paraId="763BADB5">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（2）工作状态下所产生的交流磁通密度小于0.5mT。</w:t>
            </w:r>
          </w:p>
          <w:p w14:paraId="1B8C8035">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（3）通信单元块在工作电源失电后，应由超级电容供电，维持正常工作时间不少于60s。</w:t>
            </w:r>
          </w:p>
          <w:p w14:paraId="648284A7">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（4）HPLC工作频带应为2MHz～12MHz、2.4MHz～5.6MHz、0.7MHz～3MHz、1.7MHz～3MHz，可支持切换使用。</w:t>
            </w:r>
          </w:p>
          <w:p w14:paraId="4ADEBC4E">
            <w:pPr>
              <w:pStyle w:val="14"/>
              <w:keepNext w:val="0"/>
              <w:keepLines w:val="0"/>
              <w:pageBreakBefore w:val="0"/>
              <w:numPr>
                <w:ilvl w:val="1"/>
                <w:numId w:val="0"/>
              </w:numPr>
              <w:tabs>
                <w:tab w:val="left" w:pos="1418"/>
                <w:tab w:val="clear" w:pos="57"/>
                <w:tab w:val="clear" w:pos="420"/>
              </w:tabs>
              <w:kinsoku/>
              <w:wordWrap/>
              <w:overflowPunct/>
              <w:autoSpaceDE/>
              <w:autoSpaceDN/>
              <w:bidi w:val="0"/>
              <w:adjustRightInd/>
              <w:spacing w:before="0" w:beforeLines="0" w:after="0" w:afterLines="0"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（5）HRF工作频带 </w:t>
            </w:r>
          </w:p>
          <w:p w14:paraId="6C18CFD4">
            <w:pPr>
              <w:pStyle w:val="12"/>
              <w:keepNext w:val="0"/>
              <w:keepLines w:val="0"/>
              <w:pageBreakBefore w:val="0"/>
              <w:kinsoku/>
              <w:wordWrap/>
              <w:overflow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基本通信频段应满足470MHz ~510MHz</w:t>
            </w:r>
          </w:p>
          <w:p w14:paraId="1B6C86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（5）具备抄表、时钟管理、控制等功能。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01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32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9732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18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5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32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295183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B66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8116">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1E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三相物联双模通信模组外壳</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03F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（1）外壳应有足够的强度，外物撞击造成的变形应不影响其正常工作。</w:t>
            </w:r>
          </w:p>
          <w:p w14:paraId="3EA1879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（2）外壳防护性能应符合GB/T 4208—2017规定的IP51级要求，即防尘和防滴水。</w:t>
            </w:r>
          </w:p>
          <w:p w14:paraId="7607911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（3）外壳应符合GB/T 5169.11—2017的阻燃要求，试验温度为650℃，试验时间为30s。</w:t>
            </w:r>
          </w:p>
          <w:p w14:paraId="65D315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（4）与</w:t>
            </w:r>
            <w:r>
              <w:rPr>
                <w:rFonts w:hint="eastAsia" w:ascii="宋体" w:hAnsi="宋体" w:eastAsia="宋体" w:cs="宋体"/>
                <w:i w:val="0"/>
                <w:iCs w:val="0"/>
                <w:color w:val="000000"/>
                <w:kern w:val="0"/>
                <w:sz w:val="24"/>
                <w:szCs w:val="24"/>
                <w:highlight w:val="none"/>
                <w:u w:val="none"/>
                <w:lang w:val="en-US" w:eastAsia="zh-CN" w:bidi="ar"/>
              </w:rPr>
              <w:t>三相物联双模通信模组</w:t>
            </w:r>
            <w:r>
              <w:rPr>
                <w:rFonts w:hint="eastAsia" w:ascii="宋体" w:hAnsi="宋体" w:eastAsia="宋体" w:cs="宋体"/>
                <w:b w:val="0"/>
                <w:bCs w:val="0"/>
                <w:i w:val="0"/>
                <w:iCs w:val="0"/>
                <w:color w:val="000000"/>
                <w:kern w:val="0"/>
                <w:sz w:val="24"/>
                <w:szCs w:val="24"/>
                <w:highlight w:val="none"/>
                <w:u w:val="none"/>
                <w:lang w:val="en-US" w:eastAsia="zh-CN" w:bidi="ar"/>
              </w:rPr>
              <w:t>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38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F1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9732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7B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FC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6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6648C8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38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5816">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1C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能源控制器双模通信模组</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89D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（1）采用HPLC高速电力线载波与HRF高速无线双模通信方式，应符合Q/GDW 12087.1—2020的要求。通信协议应遵循Q/GDW 12087.41、Q/GDW 12087.42和Q/GDW 12087.43，满足通信模组互联互通要求。</w:t>
            </w:r>
          </w:p>
          <w:p w14:paraId="6FDEF4B0">
            <w:pPr>
              <w:keepNext w:val="0"/>
              <w:keepLines w:val="0"/>
              <w:widowControl/>
              <w:suppressLineNumbers w:val="0"/>
              <w:jc w:val="left"/>
              <w:textAlignment w:val="center"/>
              <w:rPr>
                <w:rFonts w:hint="eastAsia" w:ascii="宋体" w:hAnsi="宋体" w:eastAsia="宋体" w:cs="宋体"/>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（2）具备高频数据采集、事件上报等功能。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4D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2C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4702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6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8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2335D2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04B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2BCE">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C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能源控制器双模通信模组外壳</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9EE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）通信模组</w:t>
            </w:r>
            <w:r>
              <w:rPr>
                <w:rFonts w:hint="eastAsia" w:ascii="宋体" w:hAnsi="宋体" w:eastAsia="宋体" w:cs="宋体"/>
                <w:sz w:val="24"/>
                <w:szCs w:val="24"/>
                <w:highlight w:val="none"/>
              </w:rPr>
              <w:t>的外形结构及尺寸应符合</w:t>
            </w:r>
            <w:r>
              <w:rPr>
                <w:rFonts w:hint="eastAsia" w:ascii="宋体" w:hAnsi="宋体" w:eastAsia="宋体" w:cs="宋体"/>
                <w:sz w:val="24"/>
                <w:szCs w:val="24"/>
                <w:highlight w:val="none"/>
                <w:lang w:eastAsia="zh-CN"/>
              </w:rPr>
              <w:t>《能源控制器模组通用技术规范2022》</w:t>
            </w:r>
            <w:r>
              <w:rPr>
                <w:rFonts w:hint="eastAsia" w:ascii="宋体" w:hAnsi="宋体" w:eastAsia="宋体" w:cs="宋体"/>
                <w:sz w:val="24"/>
                <w:szCs w:val="24"/>
                <w:highlight w:val="none"/>
              </w:rPr>
              <w:t>中</w:t>
            </w:r>
            <w:r>
              <w:rPr>
                <w:rFonts w:hint="eastAsia" w:ascii="宋体" w:hAnsi="宋体" w:eastAsia="宋体" w:cs="宋体"/>
                <w:sz w:val="24"/>
                <w:szCs w:val="24"/>
                <w:highlight w:val="none"/>
                <w:lang w:eastAsia="zh-CN"/>
              </w:rPr>
              <w:t>低压电力线高速载波双模通信模组</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相关要求。（</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b w:val="0"/>
                <w:bCs w:val="0"/>
                <w:i w:val="0"/>
                <w:iCs w:val="0"/>
                <w:color w:val="000000"/>
                <w:kern w:val="0"/>
                <w:sz w:val="24"/>
                <w:szCs w:val="24"/>
                <w:highlight w:val="none"/>
                <w:u w:val="none"/>
                <w:lang w:val="en-US" w:eastAsia="zh-CN" w:bidi="ar"/>
              </w:rPr>
              <w:t>外壳防护性能应符合GB/T 4208—2017规定的IP51级要求，即防尘和防滴水。</w:t>
            </w:r>
          </w:p>
          <w:p w14:paraId="0C90F92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（3）外壳应符合GB/T 5169.11—2017的阻燃要求，试验温度为650℃，试验时间为30s。</w:t>
            </w:r>
          </w:p>
          <w:p w14:paraId="1F8D5C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（4）与</w:t>
            </w:r>
            <w:r>
              <w:rPr>
                <w:rFonts w:hint="eastAsia" w:ascii="宋体" w:hAnsi="宋体" w:eastAsia="宋体" w:cs="宋体"/>
                <w:i w:val="0"/>
                <w:iCs w:val="0"/>
                <w:color w:val="000000"/>
                <w:kern w:val="0"/>
                <w:sz w:val="24"/>
                <w:szCs w:val="24"/>
                <w:highlight w:val="none"/>
                <w:u w:val="none"/>
                <w:lang w:val="en-US" w:eastAsia="zh-CN" w:bidi="ar"/>
              </w:rPr>
              <w:t>能源控制器双模通信模组</w:t>
            </w:r>
            <w:r>
              <w:rPr>
                <w:rFonts w:hint="eastAsia" w:ascii="宋体" w:hAnsi="宋体" w:eastAsia="宋体" w:cs="宋体"/>
                <w:b w:val="0"/>
                <w:bCs w:val="0"/>
                <w:i w:val="0"/>
                <w:iCs w:val="0"/>
                <w:color w:val="000000"/>
                <w:kern w:val="0"/>
                <w:sz w:val="24"/>
                <w:szCs w:val="24"/>
                <w:highlight w:val="none"/>
                <w:u w:val="none"/>
                <w:lang w:val="en-US" w:eastAsia="zh-CN" w:bidi="ar"/>
              </w:rPr>
              <w:t>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6D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51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4702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9A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8A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A4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541AA1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B5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68A42">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3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通讯集成转接线</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855D">
            <w:pPr>
              <w:pStyle w:val="17"/>
              <w:keepNext w:val="0"/>
              <w:keepLines w:val="0"/>
              <w:pageBreakBefore w:val="0"/>
              <w:tabs>
                <w:tab w:val="center" w:pos="4201"/>
                <w:tab w:val="right" w:leader="dot" w:pos="9298"/>
              </w:tabs>
              <w:kinsoku/>
              <w:wordWrap/>
              <w:overflowPunct/>
              <w:bidi w:val="0"/>
              <w:adjustRightInd/>
              <w:spacing w:line="240" w:lineRule="auto"/>
              <w:ind w:left="0" w:leftChars="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工作电源由逆变器通信底座提供，工作电压DC4.5V～DC24V，线束损坏不应影响逆变器及其采集设备正常运行。</w:t>
            </w:r>
          </w:p>
          <w:p w14:paraId="1C7625C0">
            <w:pPr>
              <w:pStyle w:val="17"/>
              <w:keepNext w:val="0"/>
              <w:keepLines w:val="0"/>
              <w:pageBreakBefore w:val="0"/>
              <w:kinsoku/>
              <w:wordWrap/>
              <w:overflowPunct/>
              <w:bidi w:val="0"/>
              <w:adjustRightInd/>
              <w:spacing w:line="240" w:lineRule="auto"/>
              <w:ind w:left="0" w:leftChars="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支持1路二线制RS485接口，与物联网表光伏设备数据交互模组/分布式电源接入单元通信，通信速率支持1200 bps～115200bps，默认为9600bps，校验方式为无校验，数据位为8位，停止位为1位。</w:t>
            </w:r>
          </w:p>
          <w:p w14:paraId="26E246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集成转接线接口位置应具备密封胶圈或其他防水措施，保证接口处防护等级为IP65</w:t>
            </w:r>
            <w:r>
              <w:rPr>
                <w:rFonts w:hint="eastAsia" w:ascii="宋体" w:hAnsi="宋体" w:eastAsia="宋体" w:cs="宋体"/>
                <w:sz w:val="24"/>
                <w:szCs w:val="24"/>
                <w:highlight w:val="no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4A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B6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22706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D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92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74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509909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997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39872">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5ADC">
            <w:pPr>
              <w:keepNext w:val="0"/>
              <w:keepLines w:val="0"/>
              <w:widowControl/>
              <w:suppressLineNumbers w:val="0"/>
              <w:jc w:val="center"/>
              <w:textAlignment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分布式接入单元</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95C0">
            <w:pPr>
              <w:pStyle w:val="12"/>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(1)额定电压为：AC 220V，允许偏差为-20%~+50%。频率：50Hz，允许偏差为-6％～+2％。</w:t>
            </w:r>
          </w:p>
          <w:p w14:paraId="239A79F9">
            <w:pPr>
              <w:pStyle w:val="14"/>
              <w:keepNext w:val="0"/>
              <w:keepLines w:val="0"/>
              <w:pageBreakBefore w:val="0"/>
              <w:numPr>
                <w:ilvl w:val="1"/>
                <w:numId w:val="0"/>
              </w:numPr>
              <w:tabs>
                <w:tab w:val="left" w:pos="1418"/>
                <w:tab w:val="clear" w:pos="57"/>
                <w:tab w:val="clear" w:pos="420"/>
              </w:tabs>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(2)功率消耗:在非通信状态下，分布式电源接入单元视在功率应不大于5VA，有功功率应不大于2W；在通信状态下，分布式电源接入单元的有功功率应不大于3W。</w:t>
            </w:r>
          </w:p>
          <w:p w14:paraId="43B08A91">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b w:val="0"/>
                <w:bCs/>
                <w:kern w:val="2"/>
                <w:sz w:val="24"/>
                <w:szCs w:val="24"/>
                <w:highlight w:val="none"/>
                <w:lang w:val="en-US" w:eastAsia="zh-CN" w:bidi="ar-SA"/>
              </w:rPr>
              <w:t>(3)</w:t>
            </w:r>
            <w:r>
              <w:rPr>
                <w:rFonts w:hint="eastAsia" w:ascii="宋体" w:hAnsi="宋体" w:eastAsia="宋体" w:cs="宋体"/>
                <w:sz w:val="24"/>
                <w:szCs w:val="24"/>
                <w:highlight w:val="none"/>
                <w:lang w:val="en-US" w:eastAsia="zh-CN"/>
              </w:rPr>
              <w:t>CPU主频不低于32MHz，内存不低于32kByte。</w:t>
            </w:r>
          </w:p>
          <w:p w14:paraId="5075B3B3">
            <w:pPr>
              <w:keepNext w:val="0"/>
              <w:keepLines w:val="0"/>
              <w:widowControl/>
              <w:suppressLineNumbers w:val="0"/>
              <w:jc w:val="left"/>
              <w:textAlignment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sz w:val="24"/>
                <w:szCs w:val="24"/>
                <w:highlight w:val="none"/>
                <w:lang w:val="en-US" w:eastAsia="zh-CN"/>
              </w:rPr>
              <w:t>(4)具备交流信息采样、事件记录等功能。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0F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C9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14106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9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E1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E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right w:val="single" w:color="000000" w:sz="4" w:space="0"/>
            </w:tcBorders>
            <w:shd w:val="clear" w:color="auto" w:fill="auto"/>
            <w:vAlign w:val="center"/>
          </w:tcPr>
          <w:p w14:paraId="761D03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82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7C4DF">
            <w:pPr>
              <w:jc w:val="center"/>
              <w:rPr>
                <w:rFonts w:hint="eastAsia" w:ascii="宋体" w:hAnsi="宋体" w:eastAsia="宋体" w:cs="宋体"/>
                <w:i w:val="0"/>
                <w:iCs w:val="0"/>
                <w:color w:val="000000"/>
                <w:sz w:val="24"/>
                <w:szCs w:val="24"/>
                <w:highlight w:val="none"/>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52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分布式接入单元外壳</w:t>
            </w:r>
          </w:p>
        </w:tc>
        <w:tc>
          <w:tcPr>
            <w:tcW w:w="5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4BF2">
            <w:pPr>
              <w:pStyle w:val="12"/>
              <w:keepNext w:val="0"/>
              <w:keepLines w:val="0"/>
              <w:pageBreakBefore w:val="0"/>
              <w:kinsoku/>
              <w:wordWrap/>
              <w:overflowPunct/>
              <w:bidi w:val="0"/>
              <w:snapToGrid/>
              <w:spacing w:line="24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（1）尺寸：112mm（长）×62mm（宽）×70mm（高），外形及安装尺寸见附录</w:t>
            </w:r>
            <w:r>
              <w:rPr>
                <w:rFonts w:hint="eastAsia" w:ascii="宋体" w:hAnsi="宋体" w:eastAsia="宋体" w:cs="宋体"/>
                <w:b w:val="0"/>
                <w:bCs/>
                <w:sz w:val="24"/>
                <w:szCs w:val="24"/>
                <w:highlight w:val="none"/>
              </w:rPr>
              <w:t>。分布式电源接入单元外壳颜色色卡号：PANTONE：Cool Gray1U，色差值ΔE≤2.0。</w:t>
            </w:r>
          </w:p>
          <w:p w14:paraId="25B6DAF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eastAsia="zh-CN"/>
              </w:rPr>
              <w:t>（</w:t>
            </w:r>
            <w:r>
              <w:rPr>
                <w:rFonts w:hint="eastAsia" w:ascii="宋体" w:hAnsi="宋体" w:eastAsia="宋体" w:cs="宋体"/>
                <w:i w:val="0"/>
                <w:iCs w:val="0"/>
                <w:color w:val="000000"/>
                <w:sz w:val="24"/>
                <w:szCs w:val="24"/>
                <w:highlight w:val="none"/>
                <w:u w:val="none"/>
                <w:lang w:val="en-US" w:eastAsia="zh-CN"/>
              </w:rPr>
              <w:t>2</w:t>
            </w:r>
            <w:r>
              <w:rPr>
                <w:rFonts w:hint="eastAsia" w:ascii="宋体" w:hAnsi="宋体" w:eastAsia="宋体" w:cs="宋体"/>
                <w:i w:val="0"/>
                <w:iCs w:val="0"/>
                <w:color w:val="000000"/>
                <w:sz w:val="24"/>
                <w:szCs w:val="24"/>
                <w:highlight w:val="none"/>
                <w:u w:val="none"/>
                <w:lang w:eastAsia="zh-CN"/>
              </w:rPr>
              <w:t>）</w:t>
            </w:r>
            <w:r>
              <w:rPr>
                <w:rFonts w:hint="eastAsia" w:ascii="宋体" w:hAnsi="宋体" w:eastAsia="宋体" w:cs="宋体"/>
                <w:b w:val="0"/>
                <w:bCs w:val="0"/>
                <w:i w:val="0"/>
                <w:iCs w:val="0"/>
                <w:color w:val="000000"/>
                <w:kern w:val="0"/>
                <w:sz w:val="24"/>
                <w:szCs w:val="24"/>
                <w:highlight w:val="none"/>
                <w:u w:val="none"/>
                <w:lang w:val="en-US" w:eastAsia="zh-CN" w:bidi="ar"/>
              </w:rPr>
              <w:t>外壳防护性能应符合GB/T 4208—2017规定的IP51级要求，即防尘和防滴水。</w:t>
            </w:r>
          </w:p>
          <w:p w14:paraId="137F85C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（3）外壳应符合GB/T 5169.11—2017的阻燃要求，试验温度为650℃，试验时间为30s。</w:t>
            </w:r>
          </w:p>
          <w:p w14:paraId="62D219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b w:val="0"/>
                <w:bCs w:val="0"/>
                <w:i w:val="0"/>
                <w:iCs w:val="0"/>
                <w:color w:val="000000"/>
                <w:kern w:val="0"/>
                <w:sz w:val="24"/>
                <w:szCs w:val="24"/>
                <w:highlight w:val="none"/>
                <w:u w:val="none"/>
                <w:lang w:val="en-US" w:eastAsia="zh-CN" w:bidi="ar"/>
              </w:rPr>
              <w:t>（4）与</w:t>
            </w:r>
            <w:r>
              <w:rPr>
                <w:rFonts w:hint="eastAsia" w:ascii="宋体" w:hAnsi="宋体" w:eastAsia="宋体" w:cs="宋体"/>
                <w:i w:val="0"/>
                <w:iCs w:val="0"/>
                <w:color w:val="000000"/>
                <w:kern w:val="0"/>
                <w:sz w:val="24"/>
                <w:szCs w:val="24"/>
                <w:highlight w:val="none"/>
                <w:u w:val="none"/>
                <w:lang w:val="en-US" w:eastAsia="zh-CN" w:bidi="ar"/>
              </w:rPr>
              <w:t>分布式接入单元</w:t>
            </w:r>
            <w:r>
              <w:rPr>
                <w:rFonts w:hint="eastAsia" w:ascii="宋体" w:hAnsi="宋体" w:eastAsia="宋体" w:cs="宋体"/>
                <w:b w:val="0"/>
                <w:bCs w:val="0"/>
                <w:i w:val="0"/>
                <w:iCs w:val="0"/>
                <w:color w:val="000000"/>
                <w:kern w:val="0"/>
                <w:sz w:val="24"/>
                <w:szCs w:val="24"/>
                <w:highlight w:val="none"/>
                <w:u w:val="none"/>
                <w:lang w:val="en-US" w:eastAsia="zh-CN" w:bidi="ar"/>
              </w:rPr>
              <w:t>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4C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F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14106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ED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EF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2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263" w:type="dxa"/>
            <w:vMerge w:val="continue"/>
            <w:tcBorders>
              <w:left w:val="single" w:color="000000" w:sz="4" w:space="0"/>
              <w:bottom w:val="single" w:color="000000" w:sz="4" w:space="0"/>
              <w:right w:val="single" w:color="000000" w:sz="4" w:space="0"/>
            </w:tcBorders>
            <w:shd w:val="clear" w:color="auto" w:fill="auto"/>
            <w:vAlign w:val="center"/>
          </w:tcPr>
          <w:p w14:paraId="4B7948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16D4A529">
      <w:pPr>
        <w:pStyle w:val="2"/>
        <w:rPr>
          <w:rFonts w:hint="eastAsia"/>
          <w:highlight w:val="none"/>
        </w:rPr>
      </w:pPr>
    </w:p>
    <w:p w14:paraId="013D8E1A">
      <w:pPr>
        <w:pStyle w:val="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FAA5E13">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6A7DE185">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9E5C546">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C411">
    <w:pPr>
      <w:pStyle w:val="4"/>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5EEB0">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5EEB0">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59DE1CD">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59DE1CD">
                    <w:pPr>
                      <w:pStyle w:val="4"/>
                    </w:pPr>
                  </w:p>
                </w:txbxContent>
              </v:textbox>
            </v:shape>
          </w:pict>
        </mc:Fallback>
      </mc:AlternateContent>
    </w:r>
    <w: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2190F"/>
    <w:multiLevelType w:val="multilevel"/>
    <w:tmpl w:val="2052190F"/>
    <w:lvl w:ilvl="0" w:tentative="0">
      <w:start w:val="1"/>
      <w:numFmt w:val="japaneseCounting"/>
      <w:lvlText w:val="%1、"/>
      <w:lvlJc w:val="left"/>
      <w:pPr>
        <w:ind w:left="432" w:hanging="432"/>
      </w:pPr>
      <w:rPr>
        <w:rFonts w:hint="default"/>
      </w:rPr>
    </w:lvl>
    <w:lvl w:ilvl="1" w:tentative="0">
      <w:start w:val="1"/>
      <w:numFmt w:val="lowerLetter"/>
      <w:pStyle w:val="1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CC20C1"/>
    <w:rsid w:val="00F40AF5"/>
    <w:rsid w:val="04707138"/>
    <w:rsid w:val="04860D8F"/>
    <w:rsid w:val="0C9566ED"/>
    <w:rsid w:val="10C017AC"/>
    <w:rsid w:val="11EF4173"/>
    <w:rsid w:val="16267F4A"/>
    <w:rsid w:val="17252504"/>
    <w:rsid w:val="17832749"/>
    <w:rsid w:val="188E6C44"/>
    <w:rsid w:val="18E776A7"/>
    <w:rsid w:val="19EF4C30"/>
    <w:rsid w:val="1BAC01E6"/>
    <w:rsid w:val="22BC120E"/>
    <w:rsid w:val="26BD5819"/>
    <w:rsid w:val="28455ABC"/>
    <w:rsid w:val="4AA15384"/>
    <w:rsid w:val="4ABD7A75"/>
    <w:rsid w:val="4D2E620D"/>
    <w:rsid w:val="4F403134"/>
    <w:rsid w:val="511E0452"/>
    <w:rsid w:val="51340035"/>
    <w:rsid w:val="516A3318"/>
    <w:rsid w:val="637846F9"/>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pPr>
    <w:rPr>
      <w:sz w:val="2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Body Text First Indent 2"/>
    <w:basedOn w:val="3"/>
    <w:autoRedefine/>
    <w:qFormat/>
    <w:uiPriority w:val="0"/>
    <w:pPr>
      <w:ind w:firstLine="420"/>
    </w:pPr>
  </w:style>
  <w:style w:type="character" w:styleId="8">
    <w:name w:val="Hyperlink"/>
    <w:autoRedefine/>
    <w:qFormat/>
    <w:uiPriority w:val="99"/>
    <w:rPr>
      <w:color w:val="0000FF"/>
      <w:u w:val="single"/>
    </w:rPr>
  </w:style>
  <w:style w:type="paragraph" w:customStyle="1" w:styleId="9">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样式1正文（首行缩进两字） Char"/>
    <w:basedOn w:val="1"/>
    <w:next w:val="13"/>
    <w:qFormat/>
    <w:uiPriority w:val="0"/>
    <w:pPr>
      <w:tabs>
        <w:tab w:val="left" w:pos="3585"/>
      </w:tabs>
      <w:snapToGrid w:val="0"/>
      <w:spacing w:line="360" w:lineRule="auto"/>
      <w:ind w:firstLine="210" w:firstLineChars="100"/>
    </w:pPr>
    <w:rPr>
      <w:rFonts w:ascii="宋体" w:hAnsi="宋体" w:cs="宋体"/>
      <w:szCs w:val="21"/>
    </w:rPr>
  </w:style>
  <w:style w:type="paragraph" w:customStyle="1" w:styleId="13">
    <w:name w:val="样式 正文（首行缩进两字） Char + Times New Roman"/>
    <w:basedOn w:val="12"/>
    <w:qFormat/>
    <w:uiPriority w:val="0"/>
    <w:pPr>
      <w:spacing w:line="240" w:lineRule="auto"/>
    </w:pPr>
    <w:rPr>
      <w:color w:val="FF0000"/>
    </w:rPr>
  </w:style>
  <w:style w:type="paragraph" w:customStyle="1" w:styleId="14">
    <w:name w:val="二级条标题"/>
    <w:basedOn w:val="15"/>
    <w:next w:val="17"/>
    <w:autoRedefine/>
    <w:qFormat/>
    <w:uiPriority w:val="0"/>
    <w:pPr>
      <w:tabs>
        <w:tab w:val="left" w:pos="57"/>
        <w:tab w:val="left" w:pos="420"/>
        <w:tab w:val="left" w:pos="525"/>
      </w:tabs>
      <w:outlineLvl w:val="3"/>
    </w:pPr>
  </w:style>
  <w:style w:type="paragraph" w:customStyle="1" w:styleId="15">
    <w:name w:val="一级条标题"/>
    <w:basedOn w:val="16"/>
    <w:next w:val="17"/>
    <w:qFormat/>
    <w:uiPriority w:val="0"/>
    <w:pPr>
      <w:tabs>
        <w:tab w:val="left" w:pos="57"/>
        <w:tab w:val="left" w:pos="420"/>
        <w:tab w:val="left" w:pos="525"/>
      </w:tabs>
      <w:spacing w:before="0" w:beforeLines="0"/>
      <w:outlineLvl w:val="2"/>
    </w:pPr>
  </w:style>
  <w:style w:type="paragraph" w:customStyle="1" w:styleId="16">
    <w:name w:val="章标题"/>
    <w:next w:val="17"/>
    <w:qFormat/>
    <w:uiPriority w:val="0"/>
    <w:pPr>
      <w:numPr>
        <w:ilvl w:val="1"/>
        <w:numId w:val="1"/>
      </w:numPr>
      <w:tabs>
        <w:tab w:val="left" w:pos="57"/>
        <w:tab w:val="left" w:pos="420"/>
      </w:tabs>
      <w:spacing w:before="156" w:beforeLines="50" w:after="156" w:afterLines="50"/>
      <w:jc w:val="both"/>
      <w:outlineLvl w:val="1"/>
    </w:pPr>
    <w:rPr>
      <w:rFonts w:ascii="黑体" w:hAnsi="Times New Roman" w:eastAsia="黑体" w:cs="Times New Roman"/>
      <w:b/>
      <w:kern w:val="0"/>
      <w:sz w:val="21"/>
      <w:szCs w:val="20"/>
      <w:lang w:val="en-US" w:eastAsia="zh-CN" w:bidi="ar-SA"/>
    </w:rPr>
  </w:style>
  <w:style w:type="paragraph" w:customStyle="1" w:styleId="17">
    <w:name w:val="段"/>
    <w:autoRedefine/>
    <w:qFormat/>
    <w:uiPriority w:val="0"/>
    <w:pPr>
      <w:ind w:firstLine="200" w:firstLineChars="200"/>
      <w:jc w:val="both"/>
    </w:pPr>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6494</Words>
  <Characters>7513</Characters>
  <Lines>0</Lines>
  <Paragraphs>0</Paragraphs>
  <TotalTime>5</TotalTime>
  <ScaleCrop>false</ScaleCrop>
  <LinksUpToDate>false</LinksUpToDate>
  <CharactersWithSpaces>7557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晴晴</cp:lastModifiedBy>
  <dcterms:modified xsi:type="dcterms:W3CDTF">2024-12-18T10:20:22Z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49F0467AD16F4AB799FFAA4BF6E0138B_13</vt:lpwstr>
  </property>
</Properties>
</file>