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95BD0">
      <w:pPr>
        <w:pStyle w:val="4"/>
        <w:spacing w:after="0"/>
        <w:jc w:val="left"/>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采购公告附件</w:t>
      </w:r>
      <w:r>
        <w:rPr>
          <w:rFonts w:hint="eastAsia" w:ascii="宋体" w:hAnsi="宋体" w:cs="宋体"/>
          <w:b/>
          <w:bCs/>
          <w:color w:val="auto"/>
          <w:sz w:val="24"/>
          <w:szCs w:val="24"/>
          <w:highlight w:val="none"/>
          <w:lang w:eastAsia="zh-CN"/>
        </w:rPr>
        <w:t>：</w:t>
      </w:r>
      <w:bookmarkStart w:id="0" w:name="_GoBack"/>
      <w:bookmarkEnd w:id="0"/>
    </w:p>
    <w:p w14:paraId="006757BA">
      <w:pPr>
        <w:rPr>
          <w:rFonts w:hint="eastAsia"/>
          <w:highlight w:val="none"/>
        </w:rPr>
      </w:pPr>
    </w:p>
    <w:tbl>
      <w:tblPr>
        <w:tblStyle w:val="8"/>
        <w:tblW w:w="12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536"/>
        <w:gridCol w:w="2859"/>
        <w:gridCol w:w="901"/>
        <w:gridCol w:w="1186"/>
        <w:gridCol w:w="979"/>
        <w:gridCol w:w="1124"/>
        <w:gridCol w:w="2429"/>
      </w:tblGrid>
      <w:tr w14:paraId="1B2D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62" w:type="dxa"/>
            <w:vAlign w:val="center"/>
          </w:tcPr>
          <w:p w14:paraId="70D3D40C">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536" w:type="dxa"/>
            <w:shd w:val="clear" w:color="auto" w:fill="auto"/>
            <w:vAlign w:val="center"/>
          </w:tcPr>
          <w:p w14:paraId="207CC48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2859" w:type="dxa"/>
            <w:shd w:val="clear" w:color="auto" w:fill="auto"/>
            <w:vAlign w:val="center"/>
          </w:tcPr>
          <w:p w14:paraId="361E82C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901" w:type="dxa"/>
            <w:shd w:val="clear" w:color="auto" w:fill="auto"/>
            <w:vAlign w:val="center"/>
          </w:tcPr>
          <w:p w14:paraId="1EB893C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1186" w:type="dxa"/>
            <w:shd w:val="clear" w:color="auto" w:fill="auto"/>
            <w:vAlign w:val="center"/>
          </w:tcPr>
          <w:p w14:paraId="72019FF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79" w:type="dxa"/>
            <w:shd w:val="clear" w:color="auto" w:fill="auto"/>
            <w:vAlign w:val="center"/>
          </w:tcPr>
          <w:p w14:paraId="13A5394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1124" w:type="dxa"/>
            <w:shd w:val="clear" w:color="auto" w:fill="auto"/>
            <w:vAlign w:val="center"/>
          </w:tcPr>
          <w:p w14:paraId="2B39BBA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2429" w:type="dxa"/>
            <w:shd w:val="clear" w:color="auto" w:fill="auto"/>
            <w:vAlign w:val="center"/>
          </w:tcPr>
          <w:p w14:paraId="3D3B6F9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sz w:val="24"/>
                <w:szCs w:val="24"/>
                <w:highlight w:val="none"/>
              </w:rPr>
              <w:t>专用</w:t>
            </w:r>
            <w:r>
              <w:rPr>
                <w:rFonts w:hint="eastAsia" w:ascii="宋体" w:hAnsi="宋体" w:eastAsia="宋体" w:cs="宋体"/>
                <w:b/>
                <w:bCs/>
                <w:color w:val="000000"/>
                <w:sz w:val="24"/>
                <w:szCs w:val="24"/>
                <w:highlight w:val="none"/>
                <w:lang w:val="en-US" w:eastAsia="zh-CN"/>
              </w:rPr>
              <w:t>业绩</w:t>
            </w:r>
            <w:r>
              <w:rPr>
                <w:rFonts w:hint="eastAsia" w:ascii="宋体" w:hAnsi="宋体" w:eastAsia="宋体" w:cs="宋体"/>
                <w:b/>
                <w:bCs/>
                <w:color w:val="000000"/>
                <w:sz w:val="24"/>
                <w:szCs w:val="24"/>
                <w:highlight w:val="none"/>
              </w:rPr>
              <w:t>要求</w:t>
            </w:r>
          </w:p>
        </w:tc>
      </w:tr>
      <w:tr w14:paraId="2A67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1662" w:type="dxa"/>
            <w:vAlign w:val="center"/>
          </w:tcPr>
          <w:p w14:paraId="5EB4FFA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rPr>
              <w:t>无人机配网验收识别模型升级服务项目</w:t>
            </w:r>
          </w:p>
        </w:tc>
        <w:tc>
          <w:tcPr>
            <w:tcW w:w="1536" w:type="dxa"/>
            <w:shd w:val="clear" w:color="auto" w:fill="auto"/>
            <w:vAlign w:val="center"/>
          </w:tcPr>
          <w:p w14:paraId="18BA444C">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无人机配网验收识别模型升级服务</w:t>
            </w:r>
          </w:p>
        </w:tc>
        <w:tc>
          <w:tcPr>
            <w:tcW w:w="2859" w:type="dxa"/>
            <w:shd w:val="clear" w:color="auto" w:fill="auto"/>
            <w:vAlign w:val="center"/>
          </w:tcPr>
          <w:p w14:paraId="2CD808EC">
            <w:pPr>
              <w:widowControl/>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无人机收集配网项目验收物资设备样本，开展样本清洗、样本标注及算法训练，对项目使用典型物料检测及数量统计、缺陷识别等。</w:t>
            </w:r>
          </w:p>
        </w:tc>
        <w:tc>
          <w:tcPr>
            <w:tcW w:w="901" w:type="dxa"/>
            <w:shd w:val="clear" w:color="000000" w:fill="FFFFFF"/>
            <w:vAlign w:val="center"/>
          </w:tcPr>
          <w:p w14:paraId="0A893076">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项</w:t>
            </w:r>
          </w:p>
        </w:tc>
        <w:tc>
          <w:tcPr>
            <w:tcW w:w="1186" w:type="dxa"/>
            <w:shd w:val="clear" w:color="000000" w:fill="FFFFFF"/>
            <w:vAlign w:val="center"/>
          </w:tcPr>
          <w:p w14:paraId="5DAAA51F">
            <w:pPr>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1 </w:t>
            </w:r>
          </w:p>
        </w:tc>
        <w:tc>
          <w:tcPr>
            <w:tcW w:w="979" w:type="dxa"/>
            <w:shd w:val="clear" w:color="auto" w:fill="auto"/>
            <w:vAlign w:val="center"/>
          </w:tcPr>
          <w:p w14:paraId="35DFA3AC">
            <w:pPr>
              <w:widowControl/>
              <w:jc w:val="center"/>
              <w:rPr>
                <w:rFonts w:hint="eastAsia"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接到服务通知后120日内</w:t>
            </w:r>
          </w:p>
        </w:tc>
        <w:tc>
          <w:tcPr>
            <w:tcW w:w="1124" w:type="dxa"/>
            <w:shd w:val="clear" w:color="auto" w:fill="auto"/>
            <w:vAlign w:val="center"/>
          </w:tcPr>
          <w:p w14:paraId="268E56F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2429" w:type="dxa"/>
            <w:shd w:val="clear" w:color="auto" w:fill="auto"/>
            <w:vAlign w:val="center"/>
          </w:tcPr>
          <w:p w14:paraId="129BB87B">
            <w:pPr>
              <w:widowControl/>
              <w:jc w:val="center"/>
              <w:rPr>
                <w:rFonts w:hint="eastAsia" w:ascii="宋体" w:hAnsi="宋体" w:eastAsia="宋体" w:cs="宋体"/>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完成过与招标项目相类似的同等或以上技术要求的项目</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2021年1月1日至招标采购公告发布日止，完成过系统建设或软件开发类项目不少于1份。合同额累计不低于50万元。注：业绩必须提供对应的合同复印件。</w:t>
            </w:r>
          </w:p>
        </w:tc>
      </w:tr>
    </w:tbl>
    <w:p w14:paraId="3166E568">
      <w:pPr>
        <w:rPr>
          <w:rFonts w:hint="eastAsia" w:ascii="宋体" w:hAnsi="宋体" w:eastAsia="宋体" w:cs="宋体"/>
          <w:color w:val="000000" w:themeColor="text1"/>
          <w:sz w:val="24"/>
          <w:szCs w:val="24"/>
          <w:highlight w:val="none"/>
          <w14:textFill>
            <w14:solidFill>
              <w14:schemeClr w14:val="tx1"/>
            </w14:solidFill>
          </w14:textFill>
        </w:rPr>
      </w:pPr>
    </w:p>
    <w:p w14:paraId="4DF45985">
      <w:pPr>
        <w:pStyle w:val="14"/>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531CA18F">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D13E021">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3C5B8C6F">
      <w:pPr>
        <w:pStyle w:val="11"/>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AABD">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8081B">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D8081B">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4768">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119F2F73"/>
    <w:rsid w:val="16141BD1"/>
    <w:rsid w:val="16246156"/>
    <w:rsid w:val="1E0F396D"/>
    <w:rsid w:val="202810FC"/>
    <w:rsid w:val="22E55C1B"/>
    <w:rsid w:val="25CE2A2B"/>
    <w:rsid w:val="26F22D32"/>
    <w:rsid w:val="37E05580"/>
    <w:rsid w:val="4FDC010B"/>
    <w:rsid w:val="57FD506E"/>
    <w:rsid w:val="58B547B8"/>
    <w:rsid w:val="5C50494C"/>
    <w:rsid w:val="5D393E97"/>
    <w:rsid w:val="728F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autoRedefine/>
    <w:qFormat/>
    <w:uiPriority w:val="99"/>
    <w:rPr>
      <w:color w:val="0000FF"/>
      <w:u w:val="single"/>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3445</Words>
  <Characters>3919</Characters>
  <Lines>0</Lines>
  <Paragraphs>0</Paragraphs>
  <TotalTime>3</TotalTime>
  <ScaleCrop>false</ScaleCrop>
  <LinksUpToDate>false</LinksUpToDate>
  <CharactersWithSpaces>3937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怎么</cp:lastModifiedBy>
  <dcterms:modified xsi:type="dcterms:W3CDTF">2024-12-23T08:58:24Z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67F61A962E214AE29D1F9FD107CB7435_13</vt:lpwstr>
  </property>
</Properties>
</file>