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06C402">
      <w:pPr>
        <w:spacing w:beforeLines="0" w:afterLines="0"/>
        <w:jc w:val="center"/>
        <w:rPr>
          <w:rFonts w:hint="eastAsia" w:ascii="方正仿宋_GBK" w:hAnsi="方正仿宋_GBK" w:eastAsia="方正仿宋_GBK" w:cs="方正仿宋_GBK"/>
          <w:color w:val="000000" w:themeColor="text1"/>
          <w:sz w:val="24"/>
          <w:szCs w:val="24"/>
          <w:highlight w:val="none"/>
          <w:lang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lang w:eastAsia="zh-CN"/>
          <w14:textFill>
            <w14:solidFill>
              <w14:schemeClr w14:val="tx1"/>
            </w14:solidFill>
          </w14:textFill>
        </w:rPr>
        <w:t>国网山东电力电科院2025年原集体企业第一次物资授权公开招标采购</w:t>
      </w:r>
    </w:p>
    <w:p w14:paraId="615DB814">
      <w:pPr>
        <w:spacing w:beforeLines="0" w:afterLines="0"/>
        <w:jc w:val="center"/>
        <w:rPr>
          <w:rFonts w:hint="eastAsia" w:ascii="方正仿宋_GBK" w:hAnsi="方正仿宋_GBK" w:eastAsia="方正仿宋_GBK" w:cs="方正仿宋_GBK"/>
          <w:color w:val="000000" w:themeColor="text1"/>
          <w:sz w:val="24"/>
          <w:szCs w:val="24"/>
          <w:highlight w:val="none"/>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招标公告</w:t>
      </w:r>
    </w:p>
    <w:p w14:paraId="5DD7B356">
      <w:pPr>
        <w:adjustRightInd w:val="0"/>
        <w:snapToGrid w:val="0"/>
        <w:spacing w:beforeLines="100" w:afterLines="50" w:line="400" w:lineRule="exact"/>
        <w:jc w:val="center"/>
        <w:outlineLvl w:val="1"/>
        <w:rPr>
          <w:rFonts w:hint="eastAsia" w:ascii="方正仿宋_GBK" w:hAnsi="方正仿宋_GBK" w:eastAsia="方正仿宋_GBK" w:cs="方正仿宋_GBK"/>
          <w:b/>
          <w:color w:val="000000" w:themeColor="text1"/>
          <w:sz w:val="24"/>
          <w:szCs w:val="24"/>
          <w:highlight w:val="none"/>
          <w:lang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招标编号：</w:t>
      </w:r>
      <w:bookmarkStart w:id="0" w:name="_bookmark2"/>
      <w:bookmarkEnd w:id="0"/>
      <w:bookmarkStart w:id="1" w:name="_Toc62551529"/>
      <w:bookmarkStart w:id="2" w:name="_Toc26742"/>
      <w:bookmarkStart w:id="3" w:name="_Toc12492"/>
      <w:bookmarkStart w:id="4" w:name="_Toc10816"/>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CY0625SW7P01</w:t>
      </w:r>
    </w:p>
    <w:p w14:paraId="399BC2BA">
      <w:pPr>
        <w:adjustRightInd w:val="0"/>
        <w:snapToGrid w:val="0"/>
        <w:spacing w:beforeLines="100" w:afterLines="50" w:line="400" w:lineRule="exact"/>
        <w:outlineLvl w:val="1"/>
        <w:rPr>
          <w:rFonts w:hint="eastAsia" w:ascii="方正仿宋_GBK" w:hAnsi="方正仿宋_GBK" w:eastAsia="方正仿宋_GBK" w:cs="方正仿宋_GBK"/>
          <w:b/>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b/>
          <w:color w:val="000000" w:themeColor="text1"/>
          <w:sz w:val="21"/>
          <w:szCs w:val="21"/>
          <w:highlight w:val="none"/>
          <w14:textFill>
            <w14:solidFill>
              <w14:schemeClr w14:val="tx1"/>
            </w14:solidFill>
          </w14:textFill>
        </w:rPr>
        <w:t>1.招标条件</w:t>
      </w:r>
      <w:bookmarkEnd w:id="1"/>
      <w:bookmarkEnd w:id="2"/>
      <w:bookmarkEnd w:id="3"/>
      <w:bookmarkEnd w:id="4"/>
    </w:p>
    <w:p w14:paraId="70285786">
      <w:pPr>
        <w:pStyle w:val="10"/>
        <w:tabs>
          <w:tab w:val="left" w:pos="0"/>
        </w:tabs>
        <w:spacing w:line="400" w:lineRule="exact"/>
        <w:ind w:firstLine="420" w:firstLineChars="200"/>
        <w:jc w:val="both"/>
        <w:rPr>
          <w:rFonts w:hint="eastAsia" w:ascii="方正仿宋_GBK" w:hAnsi="方正仿宋_GBK" w:eastAsia="方正仿宋_GBK" w:cs="方正仿宋_GBK"/>
          <w:color w:val="000000" w:themeColor="text1"/>
          <w:kern w:val="2"/>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本招标</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项目资金已落实，出资比例为100%，招标人为山东中实易通集团有限公司、山东电力工业锅炉压力容器检验中心有限公司，并委托</w:t>
      </w:r>
      <w:r>
        <w:rPr>
          <w:rFonts w:hint="eastAsia" w:ascii="方正仿宋_GBK" w:hAnsi="方正仿宋_GBK" w:eastAsia="方正仿宋_GBK" w:cs="方正仿宋_GBK"/>
          <w:b w:val="0"/>
          <w:bCs w:val="0"/>
          <w:i w:val="0"/>
          <w:iCs w:val="0"/>
          <w:color w:val="000000" w:themeColor="text1"/>
          <w:sz w:val="21"/>
          <w:szCs w:val="21"/>
          <w:highlight w:val="none"/>
          <w:u w:val="none"/>
          <w:lang w:val="en-US" w:eastAsia="zh-CN"/>
          <w14:textFill>
            <w14:solidFill>
              <w14:schemeClr w14:val="tx1"/>
            </w14:solidFill>
          </w14:textFill>
        </w:rPr>
        <w:t>山东三誉招标代理有限公司</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为招标代理机构。项目已具备招标条件，现对该项目进行公开招标。</w:t>
      </w:r>
    </w:p>
    <w:p w14:paraId="4F143920">
      <w:pPr>
        <w:pStyle w:val="10"/>
        <w:tabs>
          <w:tab w:val="left" w:pos="0"/>
        </w:tabs>
        <w:spacing w:line="400" w:lineRule="exact"/>
        <w:ind w:firstLine="420" w:firstLineChars="200"/>
        <w:jc w:val="both"/>
        <w:rPr>
          <w:rFonts w:hint="eastAsia" w:ascii="方正仿宋_GBK" w:hAnsi="方正仿宋_GBK" w:eastAsia="方正仿宋_GBK" w:cs="方正仿宋_GBK"/>
          <w:color w:val="000000" w:themeColor="text1"/>
          <w:kern w:val="2"/>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2"/>
          <w:sz w:val="21"/>
          <w:szCs w:val="21"/>
          <w:highlight w:val="none"/>
          <w14:textFill>
            <w14:solidFill>
              <w14:schemeClr w14:val="tx1"/>
            </w14:solidFill>
          </w14:textFill>
        </w:rPr>
        <w:t>本项目积极响应《中共中央国务院关于开展质量提升行动的指导意见》，倡导潜在投标人用先进标准引领服务质量提升，有效治理质量突出问题，推动形成优质优价的</w:t>
      </w:r>
      <w:r>
        <w:rPr>
          <w:rFonts w:hint="eastAsia" w:ascii="方正仿宋_GBK" w:hAnsi="方正仿宋_GBK" w:eastAsia="方正仿宋_GBK" w:cs="方正仿宋_GBK"/>
          <w:color w:val="000000" w:themeColor="text1"/>
          <w:kern w:val="2"/>
          <w:sz w:val="21"/>
          <w:szCs w:val="21"/>
          <w:highlight w:val="none"/>
          <w:lang w:val="en-US"/>
          <w14:textFill>
            <w14:solidFill>
              <w14:schemeClr w14:val="tx1"/>
            </w14:solidFill>
          </w14:textFill>
        </w:rPr>
        <w:t>采购</w:t>
      </w:r>
      <w:r>
        <w:rPr>
          <w:rFonts w:hint="eastAsia" w:ascii="方正仿宋_GBK" w:hAnsi="方正仿宋_GBK" w:eastAsia="方正仿宋_GBK" w:cs="方正仿宋_GBK"/>
          <w:color w:val="000000" w:themeColor="text1"/>
          <w:kern w:val="2"/>
          <w:sz w:val="21"/>
          <w:szCs w:val="21"/>
          <w:highlight w:val="none"/>
          <w14:textFill>
            <w14:solidFill>
              <w14:schemeClr w14:val="tx1"/>
            </w14:solidFill>
          </w14:textFill>
        </w:rPr>
        <w:t>机制。</w:t>
      </w:r>
    </w:p>
    <w:p w14:paraId="765F6A41">
      <w:pPr>
        <w:numPr>
          <w:ilvl w:val="255"/>
          <w:numId w:val="0"/>
        </w:numPr>
        <w:adjustRightInd w:val="0"/>
        <w:snapToGrid w:val="0"/>
        <w:spacing w:beforeLines="100" w:afterLines="50" w:line="400" w:lineRule="exact"/>
        <w:outlineLvl w:val="1"/>
        <w:rPr>
          <w:rFonts w:hint="eastAsia" w:ascii="方正仿宋_GBK" w:hAnsi="方正仿宋_GBK" w:eastAsia="方正仿宋_GBK" w:cs="方正仿宋_GBK"/>
          <w:b/>
          <w:color w:val="000000" w:themeColor="text1"/>
          <w:sz w:val="21"/>
          <w:szCs w:val="21"/>
          <w:highlight w:val="none"/>
          <w14:textFill>
            <w14:solidFill>
              <w14:schemeClr w14:val="tx1"/>
            </w14:solidFill>
          </w14:textFill>
        </w:rPr>
      </w:pPr>
      <w:bookmarkStart w:id="5" w:name="_bookmark3"/>
      <w:bookmarkEnd w:id="5"/>
      <w:bookmarkStart w:id="6" w:name="_Toc9444"/>
      <w:bookmarkStart w:id="7" w:name="_Toc21896"/>
      <w:bookmarkStart w:id="8" w:name="_Toc25148"/>
      <w:bookmarkStart w:id="9" w:name="_Toc62551530"/>
      <w:r>
        <w:rPr>
          <w:rFonts w:hint="eastAsia" w:ascii="方正仿宋_GBK" w:hAnsi="方正仿宋_GBK" w:eastAsia="方正仿宋_GBK" w:cs="方正仿宋_GBK"/>
          <w:b/>
          <w:color w:val="000000" w:themeColor="text1"/>
          <w:sz w:val="21"/>
          <w:szCs w:val="21"/>
          <w:highlight w:val="none"/>
          <w14:textFill>
            <w14:solidFill>
              <w14:schemeClr w14:val="tx1"/>
            </w14:solidFill>
          </w14:textFill>
        </w:rPr>
        <w:t>2.项目概况与招标范围</w:t>
      </w:r>
      <w:bookmarkEnd w:id="6"/>
      <w:bookmarkEnd w:id="7"/>
      <w:bookmarkEnd w:id="8"/>
      <w:bookmarkEnd w:id="9"/>
    </w:p>
    <w:tbl>
      <w:tblPr>
        <w:tblStyle w:val="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9"/>
        <w:gridCol w:w="3212"/>
        <w:gridCol w:w="4308"/>
      </w:tblGrid>
      <w:tr w14:paraId="29EE9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586" w:type="pct"/>
            <w:noWrap w:val="0"/>
            <w:vAlign w:val="center"/>
          </w:tcPr>
          <w:p w14:paraId="453D89A0">
            <w:pPr>
              <w:pStyle w:val="5"/>
              <w:snapToGrid w:val="0"/>
              <w:spacing w:before="0" w:beforeAutospacing="0" w:after="0" w:afterAutospacing="0" w:line="0" w:lineRule="atLeast"/>
              <w:jc w:val="center"/>
              <w:rPr>
                <w:rFonts w:hint="eastAsia" w:ascii="方正仿宋_GBK" w:hAnsi="方正仿宋_GBK" w:eastAsia="方正仿宋_GBK" w:cs="方正仿宋_GBK"/>
                <w:color w:val="auto"/>
                <w:kern w:val="2"/>
                <w:sz w:val="21"/>
                <w:szCs w:val="21"/>
                <w:highlight w:val="none"/>
              </w:rPr>
            </w:pPr>
            <w:r>
              <w:rPr>
                <w:rFonts w:hint="eastAsia" w:ascii="方正仿宋_GBK" w:hAnsi="方正仿宋_GBK" w:eastAsia="方正仿宋_GBK" w:cs="方正仿宋_GBK"/>
                <w:color w:val="auto"/>
                <w:kern w:val="2"/>
                <w:sz w:val="21"/>
                <w:szCs w:val="21"/>
                <w:highlight w:val="none"/>
              </w:rPr>
              <w:t>序  号</w:t>
            </w:r>
          </w:p>
        </w:tc>
        <w:tc>
          <w:tcPr>
            <w:tcW w:w="1885" w:type="pct"/>
            <w:noWrap w:val="0"/>
            <w:vAlign w:val="center"/>
          </w:tcPr>
          <w:p w14:paraId="21B987B1">
            <w:pPr>
              <w:pStyle w:val="5"/>
              <w:snapToGrid w:val="0"/>
              <w:spacing w:before="0" w:beforeAutospacing="0" w:after="0" w:afterAutospacing="0" w:line="0" w:lineRule="atLeast"/>
              <w:jc w:val="center"/>
              <w:rPr>
                <w:rFonts w:hint="eastAsia" w:ascii="方正仿宋_GBK" w:hAnsi="方正仿宋_GBK" w:eastAsia="方正仿宋_GBK" w:cs="方正仿宋_GBK"/>
                <w:color w:val="auto"/>
                <w:kern w:val="2"/>
                <w:sz w:val="21"/>
                <w:szCs w:val="21"/>
                <w:highlight w:val="none"/>
              </w:rPr>
            </w:pPr>
            <w:r>
              <w:rPr>
                <w:rFonts w:hint="eastAsia" w:ascii="方正仿宋_GBK" w:hAnsi="方正仿宋_GBK" w:eastAsia="方正仿宋_GBK" w:cs="方正仿宋_GBK"/>
                <w:color w:val="auto"/>
                <w:kern w:val="2"/>
                <w:sz w:val="21"/>
                <w:szCs w:val="21"/>
                <w:highlight w:val="none"/>
              </w:rPr>
              <w:t>分  标  编  号</w:t>
            </w:r>
          </w:p>
        </w:tc>
        <w:tc>
          <w:tcPr>
            <w:tcW w:w="2528" w:type="pct"/>
            <w:noWrap w:val="0"/>
            <w:vAlign w:val="center"/>
          </w:tcPr>
          <w:p w14:paraId="08161589">
            <w:pPr>
              <w:pStyle w:val="5"/>
              <w:snapToGrid w:val="0"/>
              <w:spacing w:before="0" w:beforeAutospacing="0" w:after="0" w:afterAutospacing="0" w:line="0" w:lineRule="atLeast"/>
              <w:jc w:val="center"/>
              <w:rPr>
                <w:rFonts w:hint="eastAsia" w:ascii="方正仿宋_GBK" w:hAnsi="方正仿宋_GBK" w:eastAsia="方正仿宋_GBK" w:cs="方正仿宋_GBK"/>
                <w:color w:val="auto"/>
                <w:kern w:val="2"/>
                <w:sz w:val="21"/>
                <w:szCs w:val="21"/>
                <w:highlight w:val="none"/>
              </w:rPr>
            </w:pPr>
            <w:r>
              <w:rPr>
                <w:rFonts w:hint="eastAsia" w:ascii="方正仿宋_GBK" w:hAnsi="方正仿宋_GBK" w:eastAsia="方正仿宋_GBK" w:cs="方正仿宋_GBK"/>
                <w:color w:val="auto"/>
                <w:kern w:val="2"/>
                <w:sz w:val="21"/>
                <w:szCs w:val="21"/>
                <w:highlight w:val="none"/>
              </w:rPr>
              <w:t>分  标  名  称</w:t>
            </w:r>
          </w:p>
        </w:tc>
      </w:tr>
      <w:tr w14:paraId="4A307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586" w:type="pct"/>
            <w:noWrap w:val="0"/>
            <w:vAlign w:val="center"/>
          </w:tcPr>
          <w:p w14:paraId="0F0ED5CE">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w:t>
            </w:r>
          </w:p>
        </w:tc>
        <w:tc>
          <w:tcPr>
            <w:tcW w:w="3212" w:type="dxa"/>
            <w:noWrap w:val="0"/>
            <w:vAlign w:val="center"/>
          </w:tcPr>
          <w:p w14:paraId="2D85B657">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YTZBWZ2025-1001</w:t>
            </w:r>
          </w:p>
        </w:tc>
        <w:tc>
          <w:tcPr>
            <w:tcW w:w="4308" w:type="dxa"/>
            <w:noWrap w:val="0"/>
            <w:vAlign w:val="center"/>
          </w:tcPr>
          <w:p w14:paraId="3E4DA943">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设备检修耗材采购</w:t>
            </w:r>
          </w:p>
        </w:tc>
      </w:tr>
      <w:tr w14:paraId="57008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586" w:type="pct"/>
            <w:noWrap w:val="0"/>
            <w:vAlign w:val="center"/>
          </w:tcPr>
          <w:p w14:paraId="40209C01">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w:t>
            </w:r>
          </w:p>
        </w:tc>
        <w:tc>
          <w:tcPr>
            <w:tcW w:w="3212" w:type="dxa"/>
            <w:noWrap w:val="0"/>
            <w:vAlign w:val="center"/>
          </w:tcPr>
          <w:p w14:paraId="0BDB3075">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YTZBWZ2025-1002</w:t>
            </w:r>
          </w:p>
        </w:tc>
        <w:tc>
          <w:tcPr>
            <w:tcW w:w="4308" w:type="dxa"/>
            <w:noWrap w:val="0"/>
            <w:vAlign w:val="center"/>
          </w:tcPr>
          <w:p w14:paraId="4E3500AC">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喷嘴及配件采购</w:t>
            </w:r>
          </w:p>
        </w:tc>
      </w:tr>
      <w:tr w14:paraId="4CC24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586" w:type="pct"/>
            <w:noWrap w:val="0"/>
            <w:vAlign w:val="center"/>
          </w:tcPr>
          <w:p w14:paraId="2E4529A0">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w:t>
            </w:r>
          </w:p>
        </w:tc>
        <w:tc>
          <w:tcPr>
            <w:tcW w:w="3212" w:type="dxa"/>
            <w:noWrap w:val="0"/>
            <w:vAlign w:val="center"/>
          </w:tcPr>
          <w:p w14:paraId="38A78281">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YTZBWZ2025-1003</w:t>
            </w:r>
          </w:p>
        </w:tc>
        <w:tc>
          <w:tcPr>
            <w:tcW w:w="4308" w:type="dxa"/>
            <w:noWrap w:val="0"/>
            <w:vAlign w:val="center"/>
          </w:tcPr>
          <w:p w14:paraId="4F749BC7">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职业卫生与工装检测耗材采购</w:t>
            </w:r>
          </w:p>
        </w:tc>
      </w:tr>
      <w:tr w14:paraId="6A27A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586" w:type="pct"/>
            <w:noWrap w:val="0"/>
            <w:vAlign w:val="center"/>
          </w:tcPr>
          <w:p w14:paraId="15572B33">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w:t>
            </w:r>
          </w:p>
        </w:tc>
        <w:tc>
          <w:tcPr>
            <w:tcW w:w="3212" w:type="dxa"/>
            <w:noWrap w:val="0"/>
            <w:vAlign w:val="center"/>
          </w:tcPr>
          <w:p w14:paraId="10931F7E">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YTZBWZ2025-1004</w:t>
            </w:r>
          </w:p>
        </w:tc>
        <w:tc>
          <w:tcPr>
            <w:tcW w:w="4308" w:type="dxa"/>
            <w:noWrap w:val="0"/>
            <w:vAlign w:val="center"/>
          </w:tcPr>
          <w:p w14:paraId="3C839C18">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材料采购</w:t>
            </w:r>
          </w:p>
        </w:tc>
      </w:tr>
      <w:tr w14:paraId="66888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586" w:type="pct"/>
            <w:noWrap w:val="0"/>
            <w:vAlign w:val="center"/>
          </w:tcPr>
          <w:p w14:paraId="41C0F0E2">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5</w:t>
            </w:r>
          </w:p>
        </w:tc>
        <w:tc>
          <w:tcPr>
            <w:tcW w:w="3212" w:type="dxa"/>
            <w:noWrap w:val="0"/>
            <w:vAlign w:val="center"/>
          </w:tcPr>
          <w:p w14:paraId="693D683E">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YTZBWZ2025-1005</w:t>
            </w:r>
          </w:p>
        </w:tc>
        <w:tc>
          <w:tcPr>
            <w:tcW w:w="4308" w:type="dxa"/>
            <w:noWrap w:val="0"/>
            <w:vAlign w:val="center"/>
          </w:tcPr>
          <w:p w14:paraId="17B8DF2C">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检测实验耗材等材料采购</w:t>
            </w:r>
          </w:p>
        </w:tc>
      </w:tr>
      <w:tr w14:paraId="33B8A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586" w:type="pct"/>
            <w:noWrap w:val="0"/>
            <w:vAlign w:val="center"/>
          </w:tcPr>
          <w:p w14:paraId="7326304E">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6</w:t>
            </w:r>
          </w:p>
        </w:tc>
        <w:tc>
          <w:tcPr>
            <w:tcW w:w="3212" w:type="dxa"/>
            <w:noWrap w:val="0"/>
            <w:vAlign w:val="center"/>
          </w:tcPr>
          <w:p w14:paraId="47F93E15">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YTZBWZ2025-1006-GJ</w:t>
            </w:r>
          </w:p>
        </w:tc>
        <w:tc>
          <w:tcPr>
            <w:tcW w:w="4308" w:type="dxa"/>
            <w:noWrap w:val="0"/>
            <w:vAlign w:val="center"/>
          </w:tcPr>
          <w:p w14:paraId="542497C9">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锂电池和BMS采购</w:t>
            </w:r>
          </w:p>
        </w:tc>
      </w:tr>
      <w:tr w14:paraId="59875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586" w:type="pct"/>
            <w:noWrap w:val="0"/>
            <w:vAlign w:val="center"/>
          </w:tcPr>
          <w:p w14:paraId="4E7B59E7">
            <w:pPr>
              <w:keepNext w:val="0"/>
              <w:keepLines w:val="0"/>
              <w:widowControl/>
              <w:suppressLineNumbers w:val="0"/>
              <w:jc w:val="center"/>
              <w:textAlignment w:val="center"/>
              <w:rPr>
                <w:rFonts w:hint="default" w:ascii="方正仿宋_GBK" w:hAnsi="方正仿宋_GBK" w:eastAsia="方正仿宋_GBK" w:cs="方正仿宋_GBK"/>
                <w:i w:val="0"/>
                <w:iCs w:val="0"/>
                <w:color w:val="auto"/>
                <w:kern w:val="0"/>
                <w:sz w:val="21"/>
                <w:szCs w:val="21"/>
                <w:highlight w:val="none"/>
                <w:u w:val="none"/>
                <w:lang w:val="en-US" w:eastAsia="zh-CN" w:bidi="ar"/>
              </w:rPr>
            </w:pPr>
            <w:bookmarkStart w:id="10" w:name="_Toc62551531"/>
            <w:bookmarkStart w:id="11" w:name="_Toc31535"/>
            <w:bookmarkStart w:id="12" w:name="_Toc10766"/>
            <w:bookmarkStart w:id="13" w:name="_Toc11363"/>
            <w:r>
              <w:rPr>
                <w:rFonts w:hint="eastAsia" w:ascii="方正仿宋_GBK" w:hAnsi="方正仿宋_GBK" w:eastAsia="方正仿宋_GBK" w:cs="方正仿宋_GBK"/>
                <w:i w:val="0"/>
                <w:iCs w:val="0"/>
                <w:color w:val="auto"/>
                <w:kern w:val="0"/>
                <w:sz w:val="21"/>
                <w:szCs w:val="21"/>
                <w:highlight w:val="none"/>
                <w:u w:val="none"/>
                <w:lang w:val="en-US" w:eastAsia="zh-CN" w:bidi="ar"/>
              </w:rPr>
              <w:t>7</w:t>
            </w:r>
          </w:p>
        </w:tc>
        <w:tc>
          <w:tcPr>
            <w:tcW w:w="3212" w:type="dxa"/>
            <w:noWrap w:val="0"/>
            <w:vAlign w:val="center"/>
          </w:tcPr>
          <w:p w14:paraId="0EB9C5CF">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YTZBWZ2025-1007-GJ</w:t>
            </w:r>
          </w:p>
        </w:tc>
        <w:tc>
          <w:tcPr>
            <w:tcW w:w="4308" w:type="dxa"/>
            <w:noWrap w:val="0"/>
            <w:vAlign w:val="center"/>
          </w:tcPr>
          <w:p w14:paraId="1BF8FEC3">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耗材采购</w:t>
            </w:r>
          </w:p>
        </w:tc>
      </w:tr>
    </w:tbl>
    <w:p w14:paraId="7CE5183C">
      <w:pPr>
        <w:numPr>
          <w:ilvl w:val="-1"/>
          <w:numId w:val="0"/>
        </w:numPr>
        <w:tabs>
          <w:tab w:val="left" w:pos="1134"/>
        </w:tabs>
        <w:adjustRightInd w:val="0"/>
        <w:snapToGrid w:val="0"/>
        <w:spacing w:beforeLines="0" w:afterLines="0" w:line="400" w:lineRule="exact"/>
        <w:ind w:firstLine="420" w:firstLineChars="200"/>
        <w:rPr>
          <w:rFonts w:hint="eastAsia" w:ascii="方正仿宋_GBK" w:hAnsi="方正仿宋_GBK" w:eastAsia="方正仿宋_GBK" w:cs="方正仿宋_GBK"/>
          <w:b w:val="0"/>
          <w:color w:val="000000" w:themeColor="text1"/>
          <w:sz w:val="21"/>
          <w:szCs w:val="21"/>
          <w:highlight w:val="none"/>
          <w:lang w:val="zh-CN"/>
          <w14:textFill>
            <w14:solidFill>
              <w14:schemeClr w14:val="tx1"/>
            </w14:solidFill>
          </w14:textFill>
        </w:rPr>
      </w:pPr>
      <w:bookmarkStart w:id="14" w:name="_bookmark4"/>
      <w:bookmarkEnd w:id="14"/>
      <w:r>
        <w:rPr>
          <w:rFonts w:hint="eastAsia" w:ascii="方正仿宋_GBK" w:hAnsi="方正仿宋_GBK" w:eastAsia="方正仿宋_GBK" w:cs="方正仿宋_GBK"/>
          <w:b w:val="0"/>
          <w:color w:val="000000" w:themeColor="text1"/>
          <w:sz w:val="21"/>
          <w:szCs w:val="21"/>
          <w:highlight w:val="none"/>
          <w:lang w:val="zh-CN"/>
          <w14:textFill>
            <w14:solidFill>
              <w14:schemeClr w14:val="tx1"/>
            </w14:solidFill>
          </w14:textFill>
        </w:rPr>
        <w:t>招标范围详见附件1：</w:t>
      </w:r>
      <w:r>
        <w:rPr>
          <w:rFonts w:hint="eastAsia" w:ascii="方正仿宋_GBK" w:hAnsi="方正仿宋_GBK" w:eastAsia="方正仿宋_GBK" w:cs="方正仿宋_GBK"/>
          <w:b w:val="0"/>
          <w:color w:val="000000" w:themeColor="text1"/>
          <w:sz w:val="21"/>
          <w:szCs w:val="21"/>
          <w:highlight w:val="none"/>
          <w:lang w:val="en-US" w:eastAsia="zh-CN"/>
          <w14:textFill>
            <w14:solidFill>
              <w14:schemeClr w14:val="tx1"/>
            </w14:solidFill>
          </w14:textFill>
        </w:rPr>
        <w:t>招标</w:t>
      </w:r>
      <w:r>
        <w:rPr>
          <w:rFonts w:hint="eastAsia" w:ascii="方正仿宋_GBK" w:hAnsi="方正仿宋_GBK" w:eastAsia="方正仿宋_GBK" w:cs="方正仿宋_GBK"/>
          <w:b w:val="0"/>
          <w:color w:val="000000" w:themeColor="text1"/>
          <w:sz w:val="21"/>
          <w:szCs w:val="21"/>
          <w:highlight w:val="none"/>
          <w:lang w:val="zh-CN"/>
          <w14:textFill>
            <w14:solidFill>
              <w14:schemeClr w14:val="tx1"/>
            </w14:solidFill>
          </w14:textFill>
        </w:rPr>
        <w:t>需求一览表</w:t>
      </w:r>
    </w:p>
    <w:p w14:paraId="299DEBDA">
      <w:pPr>
        <w:numPr>
          <w:ilvl w:val="255"/>
          <w:numId w:val="0"/>
        </w:numPr>
        <w:adjustRightInd w:val="0"/>
        <w:snapToGrid w:val="0"/>
        <w:spacing w:beforeLines="100" w:afterLines="50"/>
        <w:rPr>
          <w:rFonts w:hint="eastAsia" w:ascii="方正仿宋_GBK" w:hAnsi="方正仿宋_GBK" w:eastAsia="方正仿宋_GBK" w:cs="方正仿宋_GBK"/>
          <w:b/>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b/>
          <w:color w:val="000000" w:themeColor="text1"/>
          <w:sz w:val="21"/>
          <w:szCs w:val="21"/>
          <w:highlight w:val="none"/>
          <w14:textFill>
            <w14:solidFill>
              <w14:schemeClr w14:val="tx1"/>
            </w14:solidFill>
          </w14:textFill>
        </w:rPr>
        <w:t>3.投标人资格要求</w:t>
      </w:r>
      <w:bookmarkEnd w:id="10"/>
      <w:bookmarkEnd w:id="11"/>
      <w:bookmarkEnd w:id="12"/>
      <w:bookmarkEnd w:id="13"/>
    </w:p>
    <w:p w14:paraId="083A1175">
      <w:pPr>
        <w:tabs>
          <w:tab w:val="left" w:pos="1134"/>
        </w:tabs>
        <w:adjustRightInd w:val="0"/>
        <w:snapToGrid w:val="0"/>
        <w:spacing w:beforeLines="0" w:afterLines="0" w:line="400" w:lineRule="exact"/>
        <w:ind w:firstLine="420" w:firstLineChars="200"/>
        <w:rPr>
          <w:rFonts w:hint="eastAsia" w:ascii="方正仿宋_GBK" w:hAnsi="方正仿宋_GBK" w:eastAsia="方正仿宋_GBK" w:cs="方正仿宋_GBK"/>
          <w:color w:val="000000" w:themeColor="text1"/>
          <w:kern w:val="2"/>
          <w:sz w:val="21"/>
          <w:szCs w:val="21"/>
          <w:highlight w:val="none"/>
          <w:lang w:val="zh-CN"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1"/>
          <w:szCs w:val="21"/>
          <w:highlight w:val="none"/>
          <w:lang w:val="zh-CN" w:eastAsia="zh-CN" w:bidi="ar-SA"/>
          <w14:textFill>
            <w14:solidFill>
              <w14:schemeClr w14:val="tx1"/>
            </w14:solidFill>
          </w14:textFill>
        </w:rPr>
        <w:t>3.1 本次招标要求投标人须为中华人民共和国境内依法注册的法人或</w:t>
      </w:r>
      <w:r>
        <w:rPr>
          <w:rFonts w:hint="eastAsia" w:ascii="方正仿宋_GBK" w:hAnsi="方正仿宋_GBK" w:eastAsia="方正仿宋_GBK" w:cs="方正仿宋_GBK"/>
          <w:color w:val="000000" w:themeColor="text1"/>
          <w:kern w:val="2"/>
          <w:sz w:val="21"/>
          <w:szCs w:val="21"/>
          <w:highlight w:val="none"/>
          <w:lang w:val="en-US" w:eastAsia="zh-CN" w:bidi="ar-SA"/>
          <w14:textFill>
            <w14:solidFill>
              <w14:schemeClr w14:val="tx1"/>
            </w14:solidFill>
          </w14:textFill>
        </w:rPr>
        <w:t>其他</w:t>
      </w:r>
      <w:r>
        <w:rPr>
          <w:rFonts w:hint="eastAsia" w:ascii="方正仿宋_GBK" w:hAnsi="方正仿宋_GBK" w:eastAsia="方正仿宋_GBK" w:cs="方正仿宋_GBK"/>
          <w:color w:val="000000" w:themeColor="text1"/>
          <w:kern w:val="2"/>
          <w:sz w:val="21"/>
          <w:szCs w:val="21"/>
          <w:highlight w:val="none"/>
          <w:lang w:val="zh-CN" w:eastAsia="zh-CN" w:bidi="ar-SA"/>
          <w14:textFill>
            <w14:solidFill>
              <w14:schemeClr w14:val="tx1"/>
            </w14:solidFill>
          </w14:textFill>
        </w:rPr>
        <w:t>组织，须具有与本招标项目相应的供货能力。</w:t>
      </w:r>
    </w:p>
    <w:p w14:paraId="781C17E4">
      <w:pPr>
        <w:tabs>
          <w:tab w:val="left" w:pos="1134"/>
        </w:tabs>
        <w:adjustRightInd w:val="0"/>
        <w:snapToGrid w:val="0"/>
        <w:spacing w:beforeLines="0" w:afterLines="0" w:line="400" w:lineRule="exact"/>
        <w:ind w:firstLine="420" w:firstLineChars="200"/>
        <w:rPr>
          <w:rFonts w:hint="eastAsia" w:ascii="方正仿宋_GBK" w:hAnsi="方正仿宋_GBK" w:eastAsia="方正仿宋_GBK" w:cs="方正仿宋_GBK"/>
          <w:color w:val="000000" w:themeColor="text1"/>
          <w:kern w:val="2"/>
          <w:sz w:val="21"/>
          <w:szCs w:val="21"/>
          <w:highlight w:val="none"/>
          <w:lang w:val="zh-CN"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1"/>
          <w:szCs w:val="21"/>
          <w:highlight w:val="none"/>
          <w:lang w:val="zh-CN" w:eastAsia="zh-CN" w:bidi="ar-SA"/>
          <w14:textFill>
            <w14:solidFill>
              <w14:schemeClr w14:val="tx1"/>
            </w14:solidFill>
          </w14:textFill>
        </w:rPr>
        <w:t>3.2 本次招标不接受联合体投标。</w:t>
      </w:r>
    </w:p>
    <w:p w14:paraId="63A53B4C">
      <w:pPr>
        <w:tabs>
          <w:tab w:val="left" w:pos="1134"/>
        </w:tabs>
        <w:adjustRightInd w:val="0"/>
        <w:snapToGrid w:val="0"/>
        <w:spacing w:beforeLines="0" w:afterLines="0" w:line="400" w:lineRule="exact"/>
        <w:ind w:firstLine="420" w:firstLineChars="200"/>
        <w:rPr>
          <w:rFonts w:hint="eastAsia" w:ascii="方正仿宋_GBK" w:hAnsi="方正仿宋_GBK" w:eastAsia="方正仿宋_GBK" w:cs="方正仿宋_GBK"/>
          <w:color w:val="000000" w:themeColor="text1"/>
          <w:kern w:val="2"/>
          <w:sz w:val="21"/>
          <w:szCs w:val="21"/>
          <w:highlight w:val="none"/>
          <w:lang w:val="zh-CN"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1"/>
          <w:szCs w:val="21"/>
          <w:highlight w:val="none"/>
          <w:lang w:val="zh-CN" w:eastAsia="zh-CN" w:bidi="ar-SA"/>
          <w14:textFill>
            <w14:solidFill>
              <w14:schemeClr w14:val="tx1"/>
            </w14:solidFill>
          </w14:textFill>
        </w:rPr>
        <w:t>3.3本次招标是否接受代理商投标见3.6专用资格要求。如接受代理商投标的，代理产品不得属于《机电产品国际招标投标实施办法（试行）》（商务部令2014年第1号）规定必须进行国际招标的产品。</w:t>
      </w:r>
    </w:p>
    <w:p w14:paraId="44C4C89E">
      <w:pPr>
        <w:tabs>
          <w:tab w:val="left" w:pos="1134"/>
        </w:tabs>
        <w:adjustRightInd w:val="0"/>
        <w:snapToGrid w:val="0"/>
        <w:spacing w:beforeLines="0" w:afterLines="0" w:line="400" w:lineRule="exact"/>
        <w:ind w:firstLine="420" w:firstLineChars="200"/>
        <w:rPr>
          <w:rFonts w:hint="eastAsia" w:ascii="方正仿宋_GBK" w:hAnsi="方正仿宋_GBK" w:eastAsia="方正仿宋_GBK" w:cs="方正仿宋_GBK"/>
          <w:color w:val="000000" w:themeColor="text1"/>
          <w:kern w:val="2"/>
          <w:sz w:val="21"/>
          <w:szCs w:val="21"/>
          <w:highlight w:val="none"/>
          <w:lang w:val="zh-CN"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1"/>
          <w:szCs w:val="21"/>
          <w:highlight w:val="none"/>
          <w:lang w:val="zh-CN" w:eastAsia="zh-CN" w:bidi="ar-SA"/>
          <w14:textFill>
            <w14:solidFill>
              <w14:schemeClr w14:val="tx1"/>
            </w14:solidFill>
          </w14:textFill>
        </w:rPr>
        <w:t>3.4 接受代理商或者外协外购产品投标时，其投标产品制造商须在境内具备相应货物的制造能力，并在人员、设备、资金等方面具有保障相应协作承制货物如期交货的能力。除特别注明外，这些资格、资质、业绩均系投标人本人或者其代理或外协产品制造商本人所拥有的权利权益。</w:t>
      </w:r>
    </w:p>
    <w:p w14:paraId="438D96DB">
      <w:pPr>
        <w:tabs>
          <w:tab w:val="left" w:pos="1134"/>
        </w:tabs>
        <w:adjustRightInd w:val="0"/>
        <w:snapToGrid w:val="0"/>
        <w:spacing w:beforeLines="0" w:afterLines="0" w:line="400" w:lineRule="exact"/>
        <w:ind w:firstLine="420" w:firstLineChars="200"/>
        <w:rPr>
          <w:rFonts w:hint="eastAsia" w:ascii="方正仿宋_GBK" w:hAnsi="方正仿宋_GBK" w:eastAsia="方正仿宋_GBK" w:cs="方正仿宋_GBK"/>
          <w:color w:val="000000" w:themeColor="text1"/>
          <w:kern w:val="2"/>
          <w:sz w:val="21"/>
          <w:szCs w:val="21"/>
          <w:highlight w:val="none"/>
          <w:lang w:val="zh-CN"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1"/>
          <w:szCs w:val="21"/>
          <w:highlight w:val="none"/>
          <w:lang w:val="zh-CN" w:eastAsia="zh-CN" w:bidi="ar-SA"/>
          <w14:textFill>
            <w14:solidFill>
              <w14:schemeClr w14:val="tx1"/>
            </w14:solidFill>
          </w14:textFill>
        </w:rPr>
        <w:t>3.5 投标人及其投标产品须满足如下通用资格要求：</w:t>
      </w:r>
    </w:p>
    <w:p w14:paraId="538183CB">
      <w:pPr>
        <w:tabs>
          <w:tab w:val="left" w:pos="1134"/>
        </w:tabs>
        <w:adjustRightInd w:val="0"/>
        <w:snapToGrid w:val="0"/>
        <w:spacing w:beforeLines="0" w:afterLines="0" w:line="400" w:lineRule="exact"/>
        <w:ind w:firstLine="420" w:firstLineChars="200"/>
        <w:rPr>
          <w:rFonts w:hint="eastAsia" w:ascii="方正仿宋_GBK" w:hAnsi="方正仿宋_GBK" w:eastAsia="方正仿宋_GBK" w:cs="方正仿宋_GBK"/>
          <w:color w:val="000000" w:themeColor="text1"/>
          <w:kern w:val="2"/>
          <w:sz w:val="21"/>
          <w:szCs w:val="21"/>
          <w:highlight w:val="none"/>
          <w:lang w:val="zh-CN"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1"/>
          <w:szCs w:val="21"/>
          <w:highlight w:val="none"/>
          <w:lang w:val="zh-CN" w:eastAsia="zh-CN" w:bidi="ar-SA"/>
          <w14:textFill>
            <w14:solidFill>
              <w14:schemeClr w14:val="tx1"/>
            </w14:solidFill>
          </w14:textFill>
        </w:rPr>
        <w:t>（1）投标产品制造商必须具有生产投标产品所需的生产场地、生产设备、生产人员、产品及元器件检测能力。本招标活动不接受贴牌代工以及任何分包（招标</w:t>
      </w:r>
      <w:r>
        <w:rPr>
          <w:rFonts w:hint="eastAsia" w:ascii="方正仿宋_GBK" w:hAnsi="方正仿宋_GBK" w:eastAsia="方正仿宋_GBK" w:cs="方正仿宋_GBK"/>
          <w:color w:val="000000" w:themeColor="text1"/>
          <w:kern w:val="2"/>
          <w:sz w:val="21"/>
          <w:szCs w:val="21"/>
          <w:highlight w:val="none"/>
          <w:lang w:val="en-US" w:eastAsia="zh-CN" w:bidi="ar-SA"/>
          <w14:textFill>
            <w14:solidFill>
              <w14:schemeClr w14:val="tx1"/>
            </w14:solidFill>
          </w14:textFill>
        </w:rPr>
        <w:t>文件</w:t>
      </w:r>
      <w:r>
        <w:rPr>
          <w:rFonts w:hint="eastAsia" w:ascii="方正仿宋_GBK" w:hAnsi="方正仿宋_GBK" w:eastAsia="方正仿宋_GBK" w:cs="方正仿宋_GBK"/>
          <w:color w:val="000000" w:themeColor="text1"/>
          <w:kern w:val="2"/>
          <w:sz w:val="21"/>
          <w:szCs w:val="21"/>
          <w:highlight w:val="none"/>
          <w:lang w:val="zh-CN" w:eastAsia="zh-CN" w:bidi="ar-SA"/>
          <w14:textFill>
            <w14:solidFill>
              <w14:schemeClr w14:val="tx1"/>
            </w14:solidFill>
          </w14:textFill>
        </w:rPr>
        <w:t>中规定的允许外购外协的除外）、转包行为的投标。</w:t>
      </w:r>
    </w:p>
    <w:p w14:paraId="19AA3C3B">
      <w:pPr>
        <w:tabs>
          <w:tab w:val="left" w:pos="1134"/>
        </w:tabs>
        <w:adjustRightInd w:val="0"/>
        <w:snapToGrid w:val="0"/>
        <w:spacing w:beforeLines="0" w:afterLines="0" w:line="400" w:lineRule="exact"/>
        <w:ind w:firstLine="420" w:firstLineChars="200"/>
        <w:rPr>
          <w:rFonts w:hint="eastAsia" w:ascii="方正仿宋_GBK" w:hAnsi="方正仿宋_GBK" w:eastAsia="方正仿宋_GBK" w:cs="方正仿宋_GBK"/>
          <w:color w:val="000000" w:themeColor="text1"/>
          <w:kern w:val="2"/>
          <w:sz w:val="21"/>
          <w:szCs w:val="21"/>
          <w:highlight w:val="none"/>
          <w:lang w:val="zh-CN"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1"/>
          <w:szCs w:val="21"/>
          <w:highlight w:val="none"/>
          <w:lang w:val="zh-CN" w:eastAsia="zh-CN" w:bidi="ar-SA"/>
          <w14:textFill>
            <w14:solidFill>
              <w14:schemeClr w14:val="tx1"/>
            </w14:solidFill>
          </w14:textFill>
        </w:rPr>
        <w:t>（2）在与规范相同或较规范更严格的条件下，投标产品的投运数量或供货数量及其成功运行时间满足招标文件的要求。如同一包内存在不同类别的产品，除外购外协的产品外，则投标人须分别满足包内各类别产品的资格要求；对于外购外协的产品，产品制造商应满足本公告资质相关业绩要求。</w:t>
      </w:r>
    </w:p>
    <w:p w14:paraId="119003DA">
      <w:pPr>
        <w:tabs>
          <w:tab w:val="left" w:pos="1134"/>
        </w:tabs>
        <w:adjustRightInd w:val="0"/>
        <w:snapToGrid w:val="0"/>
        <w:spacing w:beforeLines="0" w:afterLines="0" w:line="400" w:lineRule="exact"/>
        <w:ind w:firstLine="420" w:firstLineChars="200"/>
        <w:rPr>
          <w:rFonts w:hint="eastAsia" w:ascii="方正仿宋_GBK" w:hAnsi="方正仿宋_GBK" w:eastAsia="方正仿宋_GBK" w:cs="方正仿宋_GBK"/>
          <w:color w:val="000000" w:themeColor="text1"/>
          <w:kern w:val="2"/>
          <w:sz w:val="21"/>
          <w:szCs w:val="21"/>
          <w:highlight w:val="none"/>
          <w:lang w:val="zh-CN"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1"/>
          <w:szCs w:val="21"/>
          <w:highlight w:val="none"/>
          <w:lang w:val="zh-CN" w:eastAsia="zh-CN" w:bidi="ar-SA"/>
          <w14:textFill>
            <w14:solidFill>
              <w14:schemeClr w14:val="tx1"/>
            </w14:solidFill>
          </w14:textFill>
        </w:rPr>
        <w:t>（3）取得国家法律、法规、部门规章规定的有效许可证。取得招标文件要求的国家强制认证证书。</w:t>
      </w:r>
    </w:p>
    <w:p w14:paraId="422A86C1">
      <w:pPr>
        <w:tabs>
          <w:tab w:val="left" w:pos="1134"/>
        </w:tabs>
        <w:adjustRightInd w:val="0"/>
        <w:snapToGrid w:val="0"/>
        <w:spacing w:beforeLines="0" w:afterLines="0" w:line="400" w:lineRule="exact"/>
        <w:ind w:firstLine="420" w:firstLineChars="200"/>
        <w:rPr>
          <w:rFonts w:hint="eastAsia" w:ascii="方正仿宋_GBK" w:hAnsi="方正仿宋_GBK" w:eastAsia="方正仿宋_GBK" w:cs="方正仿宋_GBK"/>
          <w:color w:val="000000" w:themeColor="text1"/>
          <w:kern w:val="2"/>
          <w:sz w:val="21"/>
          <w:szCs w:val="21"/>
          <w:highlight w:val="none"/>
          <w:lang w:val="zh-CN"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1"/>
          <w:szCs w:val="21"/>
          <w:highlight w:val="none"/>
          <w:lang w:val="zh-CN" w:eastAsia="zh-CN" w:bidi="ar-SA"/>
          <w14:textFill>
            <w14:solidFill>
              <w14:schemeClr w14:val="tx1"/>
            </w14:solidFill>
          </w14:textFill>
        </w:rPr>
        <w:t>（4）法定代表人（单位负责人）为同一人或者存在控股、管理关系的不同单位，不得参加同一标包投标或者未划分标包的同一招标项目投标。</w:t>
      </w:r>
    </w:p>
    <w:p w14:paraId="0A115F86">
      <w:pPr>
        <w:tabs>
          <w:tab w:val="left" w:pos="1134"/>
        </w:tabs>
        <w:adjustRightInd w:val="0"/>
        <w:snapToGrid w:val="0"/>
        <w:spacing w:beforeLines="0" w:afterLines="0" w:line="400" w:lineRule="exact"/>
        <w:ind w:firstLine="420" w:firstLineChars="200"/>
        <w:rPr>
          <w:rFonts w:hint="eastAsia" w:ascii="方正仿宋_GBK" w:hAnsi="方正仿宋_GBK" w:eastAsia="方正仿宋_GBK" w:cs="方正仿宋_GBK"/>
          <w:color w:val="000000" w:themeColor="text1"/>
          <w:kern w:val="2"/>
          <w:sz w:val="21"/>
          <w:szCs w:val="21"/>
          <w:highlight w:val="none"/>
          <w:lang w:val="zh-CN"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1"/>
          <w:szCs w:val="21"/>
          <w:highlight w:val="none"/>
          <w:lang w:val="zh-CN" w:eastAsia="zh-CN" w:bidi="ar-SA"/>
          <w14:textFill>
            <w14:solidFill>
              <w14:schemeClr w14:val="tx1"/>
            </w14:solidFill>
          </w14:textFill>
        </w:rPr>
        <w:t>（5）应有良好的财务状况和商业信用。</w:t>
      </w:r>
    </w:p>
    <w:p w14:paraId="41AFE5C6">
      <w:pPr>
        <w:tabs>
          <w:tab w:val="left" w:pos="1134"/>
        </w:tabs>
        <w:adjustRightInd w:val="0"/>
        <w:snapToGrid w:val="0"/>
        <w:spacing w:beforeLines="0" w:afterLines="0" w:line="400" w:lineRule="exact"/>
        <w:ind w:firstLine="420" w:firstLineChars="200"/>
        <w:rPr>
          <w:rFonts w:hint="eastAsia" w:ascii="方正仿宋_GBK" w:hAnsi="方正仿宋_GBK" w:eastAsia="方正仿宋_GBK" w:cs="方正仿宋_GBK"/>
          <w:color w:val="000000" w:themeColor="text1"/>
          <w:kern w:val="2"/>
          <w:sz w:val="21"/>
          <w:szCs w:val="21"/>
          <w:highlight w:val="none"/>
          <w:lang w:val="zh-CN"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1"/>
          <w:szCs w:val="21"/>
          <w:highlight w:val="none"/>
          <w:lang w:val="zh-CN" w:eastAsia="zh-CN" w:bidi="ar-SA"/>
          <w14:textFill>
            <w14:solidFill>
              <w14:schemeClr w14:val="tx1"/>
            </w14:solidFill>
          </w14:textFill>
        </w:rPr>
        <w:t>（</w:t>
      </w:r>
      <w:r>
        <w:rPr>
          <w:rFonts w:hint="eastAsia" w:ascii="方正仿宋_GBK" w:hAnsi="方正仿宋_GBK" w:eastAsia="方正仿宋_GBK" w:cs="方正仿宋_GBK"/>
          <w:color w:val="000000" w:themeColor="text1"/>
          <w:kern w:val="2"/>
          <w:sz w:val="21"/>
          <w:szCs w:val="21"/>
          <w:highlight w:val="none"/>
          <w:lang w:val="en-US" w:eastAsia="zh-CN" w:bidi="ar-SA"/>
          <w14:textFill>
            <w14:solidFill>
              <w14:schemeClr w14:val="tx1"/>
            </w14:solidFill>
          </w14:textFill>
        </w:rPr>
        <w:t>6</w:t>
      </w:r>
      <w:r>
        <w:rPr>
          <w:rFonts w:hint="eastAsia" w:ascii="方正仿宋_GBK" w:hAnsi="方正仿宋_GBK" w:eastAsia="方正仿宋_GBK" w:cs="方正仿宋_GBK"/>
          <w:color w:val="000000" w:themeColor="text1"/>
          <w:kern w:val="2"/>
          <w:sz w:val="21"/>
          <w:szCs w:val="21"/>
          <w:highlight w:val="none"/>
          <w:lang w:val="zh-CN" w:eastAsia="zh-CN" w:bidi="ar-SA"/>
          <w14:textFill>
            <w14:solidFill>
              <w14:schemeClr w14:val="tx1"/>
            </w14:solidFill>
          </w14:textFill>
        </w:rPr>
        <w:t>）根据《国家电网有限公司供应商关系管理办法》的规定，若</w:t>
      </w:r>
      <w:r>
        <w:rPr>
          <w:rFonts w:hint="eastAsia" w:ascii="方正仿宋_GBK" w:hAnsi="方正仿宋_GBK" w:eastAsia="方正仿宋_GBK" w:cs="方正仿宋_GBK"/>
          <w:color w:val="000000" w:themeColor="text1"/>
          <w:kern w:val="2"/>
          <w:sz w:val="21"/>
          <w:szCs w:val="21"/>
          <w:highlight w:val="none"/>
          <w:lang w:val="en-US" w:eastAsia="zh-CN" w:bidi="ar-SA"/>
          <w14:textFill>
            <w14:solidFill>
              <w14:schemeClr w14:val="tx1"/>
            </w14:solidFill>
          </w14:textFill>
        </w:rPr>
        <w:t>投标</w:t>
      </w:r>
      <w:r>
        <w:rPr>
          <w:rFonts w:hint="eastAsia" w:ascii="方正仿宋_GBK" w:hAnsi="方正仿宋_GBK" w:eastAsia="方正仿宋_GBK" w:cs="方正仿宋_GBK"/>
          <w:color w:val="000000" w:themeColor="text1"/>
          <w:kern w:val="2"/>
          <w:sz w:val="21"/>
          <w:szCs w:val="21"/>
          <w:highlight w:val="none"/>
          <w:lang w:val="zh-CN" w:eastAsia="zh-CN" w:bidi="ar-SA"/>
          <w14:textFill>
            <w14:solidFill>
              <w14:schemeClr w14:val="tx1"/>
            </w14:solidFill>
          </w14:textFill>
        </w:rPr>
        <w:t>人为制造商，存在导致其被暂停</w:t>
      </w:r>
      <w:r>
        <w:rPr>
          <w:rFonts w:hint="eastAsia" w:ascii="方正仿宋_GBK" w:hAnsi="方正仿宋_GBK" w:eastAsia="方正仿宋_GBK" w:cs="方正仿宋_GBK"/>
          <w:color w:val="000000" w:themeColor="text1"/>
          <w:kern w:val="2"/>
          <w:sz w:val="21"/>
          <w:szCs w:val="21"/>
          <w:highlight w:val="none"/>
          <w:lang w:val="en-US" w:eastAsia="zh-CN" w:bidi="ar-SA"/>
          <w14:textFill>
            <w14:solidFill>
              <w14:schemeClr w14:val="tx1"/>
            </w14:solidFill>
          </w14:textFill>
        </w:rPr>
        <w:t>中标</w:t>
      </w:r>
      <w:r>
        <w:rPr>
          <w:rFonts w:hint="eastAsia" w:ascii="方正仿宋_GBK" w:hAnsi="方正仿宋_GBK" w:eastAsia="方正仿宋_GBK" w:cs="方正仿宋_GBK"/>
          <w:color w:val="000000" w:themeColor="text1"/>
          <w:kern w:val="2"/>
          <w:sz w:val="21"/>
          <w:szCs w:val="21"/>
          <w:highlight w:val="none"/>
          <w:lang w:val="zh-CN" w:eastAsia="zh-CN" w:bidi="ar-SA"/>
          <w14:textFill>
            <w14:solidFill>
              <w14:schemeClr w14:val="tx1"/>
            </w14:solidFill>
          </w14:textFill>
        </w:rPr>
        <w:t>资格或取消</w:t>
      </w:r>
      <w:r>
        <w:rPr>
          <w:rFonts w:hint="eastAsia" w:ascii="方正仿宋_GBK" w:hAnsi="方正仿宋_GBK" w:eastAsia="方正仿宋_GBK" w:cs="方正仿宋_GBK"/>
          <w:color w:val="000000" w:themeColor="text1"/>
          <w:kern w:val="2"/>
          <w:sz w:val="21"/>
          <w:szCs w:val="21"/>
          <w:highlight w:val="none"/>
          <w:lang w:val="en-US" w:eastAsia="zh-CN" w:bidi="ar-SA"/>
          <w14:textFill>
            <w14:solidFill>
              <w14:schemeClr w14:val="tx1"/>
            </w14:solidFill>
          </w14:textFill>
        </w:rPr>
        <w:t>中标</w:t>
      </w:r>
      <w:r>
        <w:rPr>
          <w:rFonts w:hint="eastAsia" w:ascii="方正仿宋_GBK" w:hAnsi="方正仿宋_GBK" w:eastAsia="方正仿宋_GBK" w:cs="方正仿宋_GBK"/>
          <w:color w:val="000000" w:themeColor="text1"/>
          <w:kern w:val="2"/>
          <w:sz w:val="21"/>
          <w:szCs w:val="21"/>
          <w:highlight w:val="none"/>
          <w:lang w:val="zh-CN" w:eastAsia="zh-CN" w:bidi="ar-SA"/>
          <w14:textFill>
            <w14:solidFill>
              <w14:schemeClr w14:val="tx1"/>
            </w14:solidFill>
          </w14:textFill>
        </w:rPr>
        <w:t>资格的不良行为且在处理有效期内的，</w:t>
      </w:r>
      <w:r>
        <w:rPr>
          <w:rFonts w:hint="eastAsia" w:ascii="方正仿宋_GBK" w:hAnsi="方正仿宋_GBK" w:eastAsia="方正仿宋_GBK" w:cs="方正仿宋_GBK"/>
          <w:color w:val="000000" w:themeColor="text1"/>
          <w:kern w:val="2"/>
          <w:sz w:val="21"/>
          <w:szCs w:val="21"/>
          <w:highlight w:val="none"/>
          <w:lang w:val="en-US" w:eastAsia="zh-CN" w:bidi="ar-SA"/>
          <w14:textFill>
            <w14:solidFill>
              <w14:schemeClr w14:val="tx1"/>
            </w14:solidFill>
          </w14:textFill>
        </w:rPr>
        <w:t>投标人</w:t>
      </w:r>
      <w:r>
        <w:rPr>
          <w:rFonts w:hint="eastAsia" w:ascii="方正仿宋_GBK" w:hAnsi="方正仿宋_GBK" w:eastAsia="方正仿宋_GBK" w:cs="方正仿宋_GBK"/>
          <w:color w:val="000000" w:themeColor="text1"/>
          <w:kern w:val="2"/>
          <w:sz w:val="21"/>
          <w:szCs w:val="21"/>
          <w:highlight w:val="none"/>
          <w:lang w:val="zh-CN" w:eastAsia="zh-CN" w:bidi="ar-SA"/>
          <w14:textFill>
            <w14:solidFill>
              <w14:schemeClr w14:val="tx1"/>
            </w14:solidFill>
          </w14:textFill>
        </w:rPr>
        <w:t>在投标截止之日至中标公告发布之前，任一日在不良行为处理期内的，均适用不良行为处理结果。或</w:t>
      </w:r>
      <w:r>
        <w:rPr>
          <w:rFonts w:hint="eastAsia" w:ascii="方正仿宋_GBK" w:hAnsi="方正仿宋_GBK" w:eastAsia="方正仿宋_GBK" w:cs="方正仿宋_GBK"/>
          <w:color w:val="000000" w:themeColor="text1"/>
          <w:kern w:val="2"/>
          <w:sz w:val="21"/>
          <w:szCs w:val="21"/>
          <w:highlight w:val="none"/>
          <w:lang w:val="en-US" w:eastAsia="zh-CN" w:bidi="ar-SA"/>
          <w14:textFill>
            <w14:solidFill>
              <w14:schemeClr w14:val="tx1"/>
            </w14:solidFill>
          </w14:textFill>
        </w:rPr>
        <w:t>投标</w:t>
      </w:r>
      <w:r>
        <w:rPr>
          <w:rFonts w:hint="eastAsia" w:ascii="方正仿宋_GBK" w:hAnsi="方正仿宋_GBK" w:eastAsia="方正仿宋_GBK" w:cs="方正仿宋_GBK"/>
          <w:color w:val="000000" w:themeColor="text1"/>
          <w:kern w:val="2"/>
          <w:sz w:val="21"/>
          <w:szCs w:val="21"/>
          <w:highlight w:val="none"/>
          <w:lang w:val="zh-CN" w:eastAsia="zh-CN" w:bidi="ar-SA"/>
          <w14:textFill>
            <w14:solidFill>
              <w14:schemeClr w14:val="tx1"/>
            </w14:solidFill>
          </w14:textFill>
        </w:rPr>
        <w:t>人存在触发《国家电网有限公司供应商关系管理办法》第</w:t>
      </w:r>
      <w:r>
        <w:rPr>
          <w:rFonts w:hint="eastAsia" w:ascii="方正仿宋_GBK" w:hAnsi="方正仿宋_GBK" w:eastAsia="方正仿宋_GBK" w:cs="方正仿宋_GBK"/>
          <w:color w:val="000000" w:themeColor="text1"/>
          <w:kern w:val="2"/>
          <w:sz w:val="21"/>
          <w:szCs w:val="21"/>
          <w:highlight w:val="none"/>
          <w:lang w:val="en-US" w:eastAsia="zh-CN" w:bidi="ar-SA"/>
          <w14:textFill>
            <w14:solidFill>
              <w14:schemeClr w14:val="tx1"/>
            </w14:solidFill>
          </w14:textFill>
        </w:rPr>
        <w:t>六</w:t>
      </w:r>
      <w:r>
        <w:rPr>
          <w:rFonts w:hint="eastAsia" w:ascii="方正仿宋_GBK" w:hAnsi="方正仿宋_GBK" w:eastAsia="方正仿宋_GBK" w:cs="方正仿宋_GBK"/>
          <w:color w:val="000000" w:themeColor="text1"/>
          <w:kern w:val="2"/>
          <w:sz w:val="21"/>
          <w:szCs w:val="21"/>
          <w:highlight w:val="none"/>
          <w:lang w:val="zh-CN" w:eastAsia="zh-CN" w:bidi="ar-SA"/>
          <w14:textFill>
            <w14:solidFill>
              <w14:schemeClr w14:val="tx1"/>
            </w14:solidFill>
          </w14:textFill>
        </w:rPr>
        <w:t>十三条重大问题“熔断机制”情形的，其投标将被否决。若</w:t>
      </w:r>
      <w:r>
        <w:rPr>
          <w:rFonts w:hint="eastAsia" w:ascii="方正仿宋_GBK" w:hAnsi="方正仿宋_GBK" w:eastAsia="方正仿宋_GBK" w:cs="方正仿宋_GBK"/>
          <w:color w:val="000000" w:themeColor="text1"/>
          <w:kern w:val="2"/>
          <w:sz w:val="21"/>
          <w:szCs w:val="21"/>
          <w:highlight w:val="none"/>
          <w:lang w:val="en-US" w:eastAsia="zh-CN" w:bidi="ar-SA"/>
          <w14:textFill>
            <w14:solidFill>
              <w14:schemeClr w14:val="tx1"/>
            </w14:solidFill>
          </w14:textFill>
        </w:rPr>
        <w:t>投标</w:t>
      </w:r>
      <w:r>
        <w:rPr>
          <w:rFonts w:hint="eastAsia" w:ascii="方正仿宋_GBK" w:hAnsi="方正仿宋_GBK" w:eastAsia="方正仿宋_GBK" w:cs="方正仿宋_GBK"/>
          <w:color w:val="000000" w:themeColor="text1"/>
          <w:kern w:val="2"/>
          <w:sz w:val="21"/>
          <w:szCs w:val="21"/>
          <w:highlight w:val="none"/>
          <w:lang w:val="zh-CN" w:eastAsia="zh-CN" w:bidi="ar-SA"/>
          <w14:textFill>
            <w14:solidFill>
              <w14:schemeClr w14:val="tx1"/>
            </w14:solidFill>
          </w14:textFill>
        </w:rPr>
        <w:t>人为代理商，</w:t>
      </w:r>
      <w:r>
        <w:rPr>
          <w:rFonts w:hint="eastAsia" w:ascii="方正仿宋_GBK" w:hAnsi="方正仿宋_GBK" w:eastAsia="方正仿宋_GBK" w:cs="方正仿宋_GBK"/>
          <w:color w:val="000000" w:themeColor="text1"/>
          <w:kern w:val="2"/>
          <w:sz w:val="21"/>
          <w:szCs w:val="21"/>
          <w:highlight w:val="none"/>
          <w:lang w:val="en-US" w:eastAsia="zh-CN" w:bidi="ar-SA"/>
          <w14:textFill>
            <w14:solidFill>
              <w14:schemeClr w14:val="tx1"/>
            </w14:solidFill>
          </w14:textFill>
        </w:rPr>
        <w:t>投标</w:t>
      </w:r>
      <w:r>
        <w:rPr>
          <w:rFonts w:hint="eastAsia" w:ascii="方正仿宋_GBK" w:hAnsi="方正仿宋_GBK" w:eastAsia="方正仿宋_GBK" w:cs="方正仿宋_GBK"/>
          <w:color w:val="000000" w:themeColor="text1"/>
          <w:kern w:val="2"/>
          <w:sz w:val="21"/>
          <w:szCs w:val="21"/>
          <w:highlight w:val="none"/>
          <w:lang w:val="zh-CN" w:eastAsia="zh-CN" w:bidi="ar-SA"/>
          <w14:textFill>
            <w14:solidFill>
              <w14:schemeClr w14:val="tx1"/>
            </w14:solidFill>
          </w14:textFill>
        </w:rPr>
        <w:t>人或其代理产品的制造商存在导致其被暂停</w:t>
      </w:r>
      <w:r>
        <w:rPr>
          <w:rFonts w:hint="eastAsia" w:ascii="方正仿宋_GBK" w:hAnsi="方正仿宋_GBK" w:eastAsia="方正仿宋_GBK" w:cs="方正仿宋_GBK"/>
          <w:color w:val="000000" w:themeColor="text1"/>
          <w:kern w:val="2"/>
          <w:sz w:val="21"/>
          <w:szCs w:val="21"/>
          <w:highlight w:val="none"/>
          <w:lang w:val="en-US" w:eastAsia="zh-CN" w:bidi="ar-SA"/>
          <w14:textFill>
            <w14:solidFill>
              <w14:schemeClr w14:val="tx1"/>
            </w14:solidFill>
          </w14:textFill>
        </w:rPr>
        <w:t>中标</w:t>
      </w:r>
      <w:r>
        <w:rPr>
          <w:rFonts w:hint="eastAsia" w:ascii="方正仿宋_GBK" w:hAnsi="方正仿宋_GBK" w:eastAsia="方正仿宋_GBK" w:cs="方正仿宋_GBK"/>
          <w:color w:val="000000" w:themeColor="text1"/>
          <w:kern w:val="2"/>
          <w:sz w:val="21"/>
          <w:szCs w:val="21"/>
          <w:highlight w:val="none"/>
          <w:lang w:val="zh-CN" w:eastAsia="zh-CN" w:bidi="ar-SA"/>
          <w14:textFill>
            <w14:solidFill>
              <w14:schemeClr w14:val="tx1"/>
            </w14:solidFill>
          </w14:textFill>
        </w:rPr>
        <w:t>资格或取消</w:t>
      </w:r>
      <w:r>
        <w:rPr>
          <w:rFonts w:hint="eastAsia" w:ascii="方正仿宋_GBK" w:hAnsi="方正仿宋_GBK" w:eastAsia="方正仿宋_GBK" w:cs="方正仿宋_GBK"/>
          <w:color w:val="000000" w:themeColor="text1"/>
          <w:kern w:val="2"/>
          <w:sz w:val="21"/>
          <w:szCs w:val="21"/>
          <w:highlight w:val="none"/>
          <w:lang w:val="en-US" w:eastAsia="zh-CN" w:bidi="ar-SA"/>
          <w14:textFill>
            <w14:solidFill>
              <w14:schemeClr w14:val="tx1"/>
            </w14:solidFill>
          </w14:textFill>
        </w:rPr>
        <w:t>中标</w:t>
      </w:r>
      <w:r>
        <w:rPr>
          <w:rFonts w:hint="eastAsia" w:ascii="方正仿宋_GBK" w:hAnsi="方正仿宋_GBK" w:eastAsia="方正仿宋_GBK" w:cs="方正仿宋_GBK"/>
          <w:color w:val="000000" w:themeColor="text1"/>
          <w:kern w:val="2"/>
          <w:sz w:val="21"/>
          <w:szCs w:val="21"/>
          <w:highlight w:val="none"/>
          <w:lang w:val="zh-CN" w:eastAsia="zh-CN" w:bidi="ar-SA"/>
          <w14:textFill>
            <w14:solidFill>
              <w14:schemeClr w14:val="tx1"/>
            </w14:solidFill>
          </w14:textFill>
        </w:rPr>
        <w:t>资格的不良行为且在处理有效期内的，</w:t>
      </w:r>
      <w:r>
        <w:rPr>
          <w:rFonts w:hint="eastAsia" w:ascii="方正仿宋_GBK" w:hAnsi="方正仿宋_GBK" w:eastAsia="方正仿宋_GBK" w:cs="方正仿宋_GBK"/>
          <w:color w:val="000000" w:themeColor="text1"/>
          <w:kern w:val="2"/>
          <w:sz w:val="21"/>
          <w:szCs w:val="21"/>
          <w:highlight w:val="none"/>
          <w:lang w:val="en-US" w:eastAsia="zh-CN" w:bidi="ar-SA"/>
          <w14:textFill>
            <w14:solidFill>
              <w14:schemeClr w14:val="tx1"/>
            </w14:solidFill>
          </w14:textFill>
        </w:rPr>
        <w:t>投标人</w:t>
      </w:r>
      <w:r>
        <w:rPr>
          <w:rFonts w:hint="eastAsia" w:ascii="方正仿宋_GBK" w:hAnsi="方正仿宋_GBK" w:eastAsia="方正仿宋_GBK" w:cs="方正仿宋_GBK"/>
          <w:color w:val="000000" w:themeColor="text1"/>
          <w:kern w:val="2"/>
          <w:sz w:val="21"/>
          <w:szCs w:val="21"/>
          <w:highlight w:val="none"/>
          <w:lang w:val="zh-CN" w:eastAsia="zh-CN" w:bidi="ar-SA"/>
          <w14:textFill>
            <w14:solidFill>
              <w14:schemeClr w14:val="tx1"/>
            </w14:solidFill>
          </w14:textFill>
        </w:rPr>
        <w:t>或其代理产品的制造商在投标截止之日至中标公告发布之前，任一日在不良行为处理期内的，均适用不良行为处理结果。或</w:t>
      </w:r>
      <w:r>
        <w:rPr>
          <w:rFonts w:hint="eastAsia" w:ascii="方正仿宋_GBK" w:hAnsi="方正仿宋_GBK" w:eastAsia="方正仿宋_GBK" w:cs="方正仿宋_GBK"/>
          <w:color w:val="000000" w:themeColor="text1"/>
          <w:kern w:val="2"/>
          <w:sz w:val="21"/>
          <w:szCs w:val="21"/>
          <w:highlight w:val="none"/>
          <w:lang w:val="en-US" w:eastAsia="zh-CN" w:bidi="ar-SA"/>
          <w14:textFill>
            <w14:solidFill>
              <w14:schemeClr w14:val="tx1"/>
            </w14:solidFill>
          </w14:textFill>
        </w:rPr>
        <w:t>投标</w:t>
      </w:r>
      <w:r>
        <w:rPr>
          <w:rFonts w:hint="eastAsia" w:ascii="方正仿宋_GBK" w:hAnsi="方正仿宋_GBK" w:eastAsia="方正仿宋_GBK" w:cs="方正仿宋_GBK"/>
          <w:color w:val="000000" w:themeColor="text1"/>
          <w:kern w:val="2"/>
          <w:sz w:val="21"/>
          <w:szCs w:val="21"/>
          <w:highlight w:val="none"/>
          <w:lang w:val="zh-CN" w:eastAsia="zh-CN" w:bidi="ar-SA"/>
          <w14:textFill>
            <w14:solidFill>
              <w14:schemeClr w14:val="tx1"/>
            </w14:solidFill>
          </w14:textFill>
        </w:rPr>
        <w:t>人存在触发《国家电网有限公司供应商关系管理办法》第</w:t>
      </w:r>
      <w:r>
        <w:rPr>
          <w:rFonts w:hint="eastAsia" w:ascii="方正仿宋_GBK" w:hAnsi="方正仿宋_GBK" w:eastAsia="方正仿宋_GBK" w:cs="方正仿宋_GBK"/>
          <w:color w:val="000000" w:themeColor="text1"/>
          <w:kern w:val="2"/>
          <w:sz w:val="21"/>
          <w:szCs w:val="21"/>
          <w:highlight w:val="none"/>
          <w:lang w:val="en-US" w:eastAsia="zh-CN" w:bidi="ar-SA"/>
          <w14:textFill>
            <w14:solidFill>
              <w14:schemeClr w14:val="tx1"/>
            </w14:solidFill>
          </w14:textFill>
        </w:rPr>
        <w:t>六</w:t>
      </w:r>
      <w:r>
        <w:rPr>
          <w:rFonts w:hint="eastAsia" w:ascii="方正仿宋_GBK" w:hAnsi="方正仿宋_GBK" w:eastAsia="方正仿宋_GBK" w:cs="方正仿宋_GBK"/>
          <w:color w:val="000000" w:themeColor="text1"/>
          <w:kern w:val="2"/>
          <w:sz w:val="21"/>
          <w:szCs w:val="21"/>
          <w:highlight w:val="none"/>
          <w:lang w:val="zh-CN" w:eastAsia="zh-CN" w:bidi="ar-SA"/>
          <w14:textFill>
            <w14:solidFill>
              <w14:schemeClr w14:val="tx1"/>
            </w14:solidFill>
          </w14:textFill>
        </w:rPr>
        <w:t>十三条重大问题“熔断机制”情形的，其投标将被否决。</w:t>
      </w:r>
    </w:p>
    <w:p w14:paraId="21829D45">
      <w:pPr>
        <w:tabs>
          <w:tab w:val="left" w:pos="1134"/>
        </w:tabs>
        <w:adjustRightInd w:val="0"/>
        <w:snapToGrid w:val="0"/>
        <w:spacing w:beforeLines="0" w:afterLines="0" w:line="400" w:lineRule="exact"/>
        <w:ind w:firstLine="420" w:firstLineChars="200"/>
        <w:rPr>
          <w:rFonts w:hint="eastAsia" w:ascii="方正仿宋_GBK" w:hAnsi="方正仿宋_GBK" w:eastAsia="方正仿宋_GBK" w:cs="方正仿宋_GBK"/>
          <w:color w:val="000000" w:themeColor="text1"/>
          <w:kern w:val="2"/>
          <w:sz w:val="21"/>
          <w:szCs w:val="21"/>
          <w:highlight w:val="none"/>
          <w:lang w:val="zh-CN"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1"/>
          <w:szCs w:val="21"/>
          <w:highlight w:val="none"/>
          <w:lang w:val="zh-CN" w:eastAsia="zh-CN" w:bidi="ar-SA"/>
          <w14:textFill>
            <w14:solidFill>
              <w14:schemeClr w14:val="tx1"/>
            </w14:solidFill>
          </w14:textFill>
        </w:rPr>
        <w:t>（</w:t>
      </w:r>
      <w:r>
        <w:rPr>
          <w:rFonts w:hint="eastAsia" w:ascii="方正仿宋_GBK" w:hAnsi="方正仿宋_GBK" w:eastAsia="方正仿宋_GBK" w:cs="方正仿宋_GBK"/>
          <w:color w:val="000000" w:themeColor="text1"/>
          <w:kern w:val="2"/>
          <w:sz w:val="21"/>
          <w:szCs w:val="21"/>
          <w:highlight w:val="none"/>
          <w:lang w:val="en-US" w:eastAsia="zh-CN" w:bidi="ar-SA"/>
          <w14:textFill>
            <w14:solidFill>
              <w14:schemeClr w14:val="tx1"/>
            </w14:solidFill>
          </w14:textFill>
        </w:rPr>
        <w:t>7</w:t>
      </w:r>
      <w:r>
        <w:rPr>
          <w:rFonts w:hint="eastAsia" w:ascii="方正仿宋_GBK" w:hAnsi="方正仿宋_GBK" w:eastAsia="方正仿宋_GBK" w:cs="方正仿宋_GBK"/>
          <w:color w:val="000000" w:themeColor="text1"/>
          <w:kern w:val="2"/>
          <w:sz w:val="21"/>
          <w:szCs w:val="21"/>
          <w:highlight w:val="none"/>
          <w:lang w:val="zh-CN" w:eastAsia="zh-CN" w:bidi="ar-SA"/>
          <w14:textFill>
            <w14:solidFill>
              <w14:schemeClr w14:val="tx1"/>
            </w14:solidFill>
          </w14:textFill>
        </w:rPr>
        <w:t>）根据最高人民法院、国家发展改革委、国家铁路局等九部门联合印发的《关于在招标投标活动中对失信被执行人实施联合惩戒的通知》（法〔2016〕285号），投标人不得被人民法院列为失信被执行人。投标人不得存在违法失信行为，不得被列入失信被执行人，不得被“信用中国”网站（www.creditchina.gov.cn）列入严重失信主体名单。</w:t>
      </w:r>
    </w:p>
    <w:p w14:paraId="0E93A4FD">
      <w:pPr>
        <w:tabs>
          <w:tab w:val="left" w:pos="1134"/>
        </w:tabs>
        <w:adjustRightInd w:val="0"/>
        <w:snapToGrid w:val="0"/>
        <w:spacing w:beforeLines="0" w:afterLines="0" w:line="400" w:lineRule="exact"/>
        <w:ind w:firstLine="420" w:firstLineChars="200"/>
        <w:rPr>
          <w:rFonts w:hint="eastAsia" w:ascii="方正仿宋_GBK" w:hAnsi="方正仿宋_GBK" w:eastAsia="方正仿宋_GBK" w:cs="方正仿宋_GBK"/>
          <w:color w:val="000000" w:themeColor="text1"/>
          <w:kern w:val="2"/>
          <w:sz w:val="21"/>
          <w:szCs w:val="21"/>
          <w:highlight w:val="none"/>
          <w:lang w:val="zh-CN"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1"/>
          <w:szCs w:val="21"/>
          <w:highlight w:val="none"/>
          <w:lang w:val="zh-CN" w:eastAsia="zh-CN" w:bidi="ar-SA"/>
          <w14:textFill>
            <w14:solidFill>
              <w14:schemeClr w14:val="tx1"/>
            </w14:solidFill>
          </w14:textFill>
        </w:rPr>
        <w:t>（</w:t>
      </w:r>
      <w:r>
        <w:rPr>
          <w:rFonts w:hint="eastAsia" w:ascii="方正仿宋_GBK" w:hAnsi="方正仿宋_GBK" w:eastAsia="方正仿宋_GBK" w:cs="方正仿宋_GBK"/>
          <w:color w:val="000000" w:themeColor="text1"/>
          <w:kern w:val="2"/>
          <w:sz w:val="21"/>
          <w:szCs w:val="21"/>
          <w:highlight w:val="none"/>
          <w:lang w:val="en-US" w:eastAsia="zh-CN" w:bidi="ar-SA"/>
          <w14:textFill>
            <w14:solidFill>
              <w14:schemeClr w14:val="tx1"/>
            </w14:solidFill>
          </w14:textFill>
        </w:rPr>
        <w:t>8</w:t>
      </w:r>
      <w:r>
        <w:rPr>
          <w:rFonts w:hint="eastAsia" w:ascii="方正仿宋_GBK" w:hAnsi="方正仿宋_GBK" w:eastAsia="方正仿宋_GBK" w:cs="方正仿宋_GBK"/>
          <w:color w:val="000000" w:themeColor="text1"/>
          <w:kern w:val="2"/>
          <w:sz w:val="21"/>
          <w:szCs w:val="21"/>
          <w:highlight w:val="none"/>
          <w:lang w:val="zh-CN" w:eastAsia="zh-CN" w:bidi="ar-SA"/>
          <w14:textFill>
            <w14:solidFill>
              <w14:schemeClr w14:val="tx1"/>
            </w14:solidFill>
          </w14:textFill>
        </w:rPr>
        <w:t>）投标人不得被市场监督管理机关在国家企业信用信息公示系统中列入严重违法失信企业名单或列入经营异常名录信息。投标人需同时在商务文件中提供在国家企业信用信息公示系统（www.gsxt.gov.cn）查询的，包含“营业执照信息”、“列入严重违法失信企业名单（黑名单）”、“列入经营异常名录信息”、“行政处罚信息”、“清算信息”的查询结果。如投标人未提供企业信用信息公示报告，或提供的报告不符合招标文件规定的格式与内容，或报告内容被评标委员会认定有异议的，投标人的“列入经营异常名录信息”和“列入严重违法失信企业名单（黑名单）信息”以评标委员会在国家企业信用信息公示系统（www.gsxt.gov.cn）查询的结果为准。投标人未提供或提供的企业信用信息公示报告不符合招标文件规定的格式与内容的，评标委员会将会对投标人进行不利评价。投标人提供虚假企业信用信息公示报告的，按照虚假投标进行否决，并根据《国家电网有限公司供应商关系管理办法》进行相应处理。</w:t>
      </w:r>
    </w:p>
    <w:p w14:paraId="5F5EBFCB">
      <w:pPr>
        <w:tabs>
          <w:tab w:val="left" w:pos="1134"/>
        </w:tabs>
        <w:adjustRightInd w:val="0"/>
        <w:snapToGrid w:val="0"/>
        <w:spacing w:beforeLines="0" w:afterLines="0" w:line="400" w:lineRule="exact"/>
        <w:ind w:firstLine="420" w:firstLineChars="200"/>
        <w:rPr>
          <w:rFonts w:hint="eastAsia" w:ascii="方正仿宋_GBK" w:hAnsi="方正仿宋_GBK" w:eastAsia="方正仿宋_GBK" w:cs="方正仿宋_GBK"/>
          <w:color w:val="000000" w:themeColor="text1"/>
          <w:sz w:val="21"/>
          <w:szCs w:val="21"/>
          <w:highlight w:val="none"/>
          <w:lang w:val="zh-CN" w:eastAsia="zh-CN"/>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lang w:val="zh-CN" w:eastAsia="zh-CN"/>
          <w14:textFill>
            <w14:solidFill>
              <w14:schemeClr w14:val="tx1"/>
            </w14:solidFill>
          </w14:textFill>
        </w:rPr>
        <w:t>（</w:t>
      </w: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9</w:t>
      </w:r>
      <w:r>
        <w:rPr>
          <w:rFonts w:hint="eastAsia" w:ascii="方正仿宋_GBK" w:hAnsi="方正仿宋_GBK" w:eastAsia="方正仿宋_GBK" w:cs="方正仿宋_GBK"/>
          <w:color w:val="000000" w:themeColor="text1"/>
          <w:sz w:val="21"/>
          <w:szCs w:val="21"/>
          <w:highlight w:val="none"/>
          <w:lang w:val="zh-CN" w:eastAsia="zh-CN"/>
          <w14:textFill>
            <w14:solidFill>
              <w14:schemeClr w14:val="tx1"/>
            </w14:solidFill>
          </w14:textFill>
        </w:rPr>
        <w:t>）投标人不得存在由于安全黑名单或安全负面清单禁入承揽外包项目情况。</w:t>
      </w:r>
    </w:p>
    <w:p w14:paraId="3DFBC5C4">
      <w:pPr>
        <w:tabs>
          <w:tab w:val="left" w:pos="1134"/>
        </w:tabs>
        <w:adjustRightInd w:val="0"/>
        <w:snapToGrid w:val="0"/>
        <w:spacing w:beforeLines="0" w:afterLines="0" w:line="400" w:lineRule="exact"/>
        <w:ind w:firstLine="420" w:firstLineChars="200"/>
        <w:rPr>
          <w:rFonts w:hint="eastAsia" w:ascii="方正仿宋_GBK" w:hAnsi="方正仿宋_GBK" w:eastAsia="方正仿宋_GBK" w:cs="方正仿宋_GBK"/>
          <w:color w:val="000000" w:themeColor="text1"/>
          <w:kern w:val="2"/>
          <w:sz w:val="21"/>
          <w:szCs w:val="21"/>
          <w:highlight w:val="none"/>
          <w:lang w:val="zh-CN"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1"/>
          <w:szCs w:val="21"/>
          <w:highlight w:val="none"/>
          <w:lang w:val="zh-CN" w:eastAsia="zh-CN" w:bidi="ar-SA"/>
          <w14:textFill>
            <w14:solidFill>
              <w14:schemeClr w14:val="tx1"/>
            </w14:solidFill>
          </w14:textFill>
        </w:rPr>
        <w:t>（</w:t>
      </w:r>
      <w:r>
        <w:rPr>
          <w:rFonts w:hint="eastAsia" w:ascii="方正仿宋_GBK" w:hAnsi="方正仿宋_GBK" w:eastAsia="方正仿宋_GBK" w:cs="方正仿宋_GBK"/>
          <w:color w:val="000000" w:themeColor="text1"/>
          <w:kern w:val="2"/>
          <w:sz w:val="21"/>
          <w:szCs w:val="21"/>
          <w:highlight w:val="none"/>
          <w:lang w:val="en-US" w:eastAsia="zh-CN" w:bidi="ar-SA"/>
          <w14:textFill>
            <w14:solidFill>
              <w14:schemeClr w14:val="tx1"/>
            </w14:solidFill>
          </w14:textFill>
        </w:rPr>
        <w:t>10</w:t>
      </w:r>
      <w:r>
        <w:rPr>
          <w:rFonts w:hint="eastAsia" w:ascii="方正仿宋_GBK" w:hAnsi="方正仿宋_GBK" w:eastAsia="方正仿宋_GBK" w:cs="方正仿宋_GBK"/>
          <w:color w:val="000000" w:themeColor="text1"/>
          <w:kern w:val="2"/>
          <w:sz w:val="21"/>
          <w:szCs w:val="21"/>
          <w:highlight w:val="none"/>
          <w:lang w:val="zh-CN" w:eastAsia="zh-CN" w:bidi="ar-SA"/>
          <w14:textFill>
            <w14:solidFill>
              <w14:schemeClr w14:val="tx1"/>
            </w14:solidFill>
          </w14:textFill>
        </w:rPr>
        <w:t>）外购外协原材料、配套元件和外部委托加工及进口散装的部件应符合本招标技术规范要求。投标人应具备对外购外协原材料、配套元件和外部委托加工及进口散装的部件进行进厂验收所需的检验制度、检测手段和能力，和由材料、元件和部件供应商提供的检测合格证明。原材料组部件管理应当具有可追溯性。</w:t>
      </w:r>
    </w:p>
    <w:p w14:paraId="5608619A">
      <w:pPr>
        <w:tabs>
          <w:tab w:val="left" w:pos="1134"/>
        </w:tabs>
        <w:adjustRightInd w:val="0"/>
        <w:snapToGrid w:val="0"/>
        <w:spacing w:beforeLines="0" w:afterLines="0" w:line="400" w:lineRule="exact"/>
        <w:ind w:firstLine="420" w:firstLineChars="200"/>
        <w:rPr>
          <w:rFonts w:hint="eastAsia" w:ascii="方正仿宋_GBK" w:hAnsi="方正仿宋_GBK" w:eastAsia="方正仿宋_GBK" w:cs="方正仿宋_GBK"/>
          <w:color w:val="000000" w:themeColor="text1"/>
          <w:kern w:val="2"/>
          <w:sz w:val="21"/>
          <w:szCs w:val="21"/>
          <w:highlight w:val="none"/>
          <w:lang w:val="zh-CN"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1"/>
          <w:szCs w:val="21"/>
          <w:highlight w:val="none"/>
          <w:lang w:val="zh-CN" w:eastAsia="zh-CN" w:bidi="ar-SA"/>
          <w14:textFill>
            <w14:solidFill>
              <w14:schemeClr w14:val="tx1"/>
            </w14:solidFill>
          </w14:textFill>
        </w:rPr>
        <w:t>（1</w:t>
      </w:r>
      <w:r>
        <w:rPr>
          <w:rFonts w:hint="eastAsia" w:ascii="方正仿宋_GBK" w:hAnsi="方正仿宋_GBK" w:eastAsia="方正仿宋_GBK" w:cs="方正仿宋_GBK"/>
          <w:color w:val="000000" w:themeColor="text1"/>
          <w:kern w:val="2"/>
          <w:sz w:val="21"/>
          <w:szCs w:val="21"/>
          <w:highlight w:val="none"/>
          <w:lang w:val="en-US" w:eastAsia="zh-CN" w:bidi="ar-SA"/>
          <w14:textFill>
            <w14:solidFill>
              <w14:schemeClr w14:val="tx1"/>
            </w14:solidFill>
          </w14:textFill>
        </w:rPr>
        <w:t>1</w:t>
      </w:r>
      <w:r>
        <w:rPr>
          <w:rFonts w:hint="eastAsia" w:ascii="方正仿宋_GBK" w:hAnsi="方正仿宋_GBK" w:eastAsia="方正仿宋_GBK" w:cs="方正仿宋_GBK"/>
          <w:color w:val="000000" w:themeColor="text1"/>
          <w:kern w:val="2"/>
          <w:sz w:val="21"/>
          <w:szCs w:val="21"/>
          <w:highlight w:val="none"/>
          <w:lang w:val="zh-CN" w:eastAsia="zh-CN" w:bidi="ar-SA"/>
          <w14:textFill>
            <w14:solidFill>
              <w14:schemeClr w14:val="tx1"/>
            </w14:solidFill>
          </w14:textFill>
        </w:rPr>
        <w:t>）投标人不得选配国家电网有限公司《关于供应商不良行为处理情况的通报》中正接受暂停中标资格、取消中标资格的外购外协供应商或代理（集成服务）制造商的产品；不得选配涉嫌存在《招标投标法》第53条、《招标投标法实施条例》第51条所列违法行为，已被司法机关立案的外购外协供应商或代理（集成服务）制造商的产品。</w:t>
      </w:r>
    </w:p>
    <w:p w14:paraId="1DA3046E">
      <w:pPr>
        <w:tabs>
          <w:tab w:val="left" w:pos="1134"/>
        </w:tabs>
        <w:adjustRightInd w:val="0"/>
        <w:snapToGrid w:val="0"/>
        <w:spacing w:beforeLines="0" w:afterLines="0" w:line="400" w:lineRule="exact"/>
        <w:ind w:firstLine="420" w:firstLineChars="200"/>
        <w:rPr>
          <w:rFonts w:hint="eastAsia" w:ascii="方正仿宋_GBK" w:hAnsi="方正仿宋_GBK" w:eastAsia="方正仿宋_GBK" w:cs="方正仿宋_GBK"/>
          <w:color w:val="000000" w:themeColor="text1"/>
          <w:kern w:val="2"/>
          <w:sz w:val="21"/>
          <w:szCs w:val="21"/>
          <w:highlight w:val="none"/>
          <w:lang w:val="zh-CN"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1"/>
          <w:szCs w:val="21"/>
          <w:highlight w:val="none"/>
          <w:lang w:val="zh-CN" w:eastAsia="zh-CN" w:bidi="ar-SA"/>
          <w14:textFill>
            <w14:solidFill>
              <w14:schemeClr w14:val="tx1"/>
            </w14:solidFill>
          </w14:textFill>
        </w:rPr>
        <w:t>（1</w:t>
      </w:r>
      <w:r>
        <w:rPr>
          <w:rFonts w:hint="eastAsia" w:ascii="方正仿宋_GBK" w:hAnsi="方正仿宋_GBK" w:eastAsia="方正仿宋_GBK" w:cs="方正仿宋_GBK"/>
          <w:color w:val="000000" w:themeColor="text1"/>
          <w:kern w:val="2"/>
          <w:sz w:val="21"/>
          <w:szCs w:val="21"/>
          <w:highlight w:val="none"/>
          <w:lang w:val="en-US" w:eastAsia="zh-CN" w:bidi="ar-SA"/>
          <w14:textFill>
            <w14:solidFill>
              <w14:schemeClr w14:val="tx1"/>
            </w14:solidFill>
          </w14:textFill>
        </w:rPr>
        <w:t>2</w:t>
      </w:r>
      <w:r>
        <w:rPr>
          <w:rFonts w:hint="eastAsia" w:ascii="方正仿宋_GBK" w:hAnsi="方正仿宋_GBK" w:eastAsia="方正仿宋_GBK" w:cs="方正仿宋_GBK"/>
          <w:color w:val="000000" w:themeColor="text1"/>
          <w:kern w:val="2"/>
          <w:sz w:val="21"/>
          <w:szCs w:val="21"/>
          <w:highlight w:val="none"/>
          <w:lang w:val="zh-CN" w:eastAsia="zh-CN" w:bidi="ar-SA"/>
          <w14:textFill>
            <w14:solidFill>
              <w14:schemeClr w14:val="tx1"/>
            </w14:solidFill>
          </w14:textFill>
        </w:rPr>
        <w:t>）投标产品不得选配缺陷责任期（自设备投运之日起两年内）发生产品质量问题（包括但不限于接续、接触机械电气性能，支撑、封闭绝缘性能，以及电力电子性能下降、老化、毁损、丧失等）导致设备停运检修的组件材料制造商的产品。</w:t>
      </w:r>
    </w:p>
    <w:p w14:paraId="19B0B9E4">
      <w:pPr>
        <w:tabs>
          <w:tab w:val="left" w:pos="1134"/>
        </w:tabs>
        <w:adjustRightInd w:val="0"/>
        <w:snapToGrid w:val="0"/>
        <w:spacing w:beforeLines="0" w:afterLines="0" w:line="400" w:lineRule="exact"/>
        <w:ind w:firstLine="420" w:firstLineChars="200"/>
        <w:rPr>
          <w:rFonts w:hint="eastAsia" w:ascii="方正仿宋_GBK" w:hAnsi="方正仿宋_GBK" w:eastAsia="方正仿宋_GBK" w:cs="方正仿宋_GBK"/>
          <w:color w:val="000000" w:themeColor="text1"/>
          <w:kern w:val="2"/>
          <w:sz w:val="21"/>
          <w:szCs w:val="21"/>
          <w:highlight w:val="none"/>
          <w:lang w:val="zh-CN"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1"/>
          <w:szCs w:val="21"/>
          <w:highlight w:val="none"/>
          <w:lang w:val="zh-CN" w:eastAsia="zh-CN" w:bidi="ar-SA"/>
          <w14:textFill>
            <w14:solidFill>
              <w14:schemeClr w14:val="tx1"/>
            </w14:solidFill>
          </w14:textFill>
        </w:rPr>
        <w:t>（1</w:t>
      </w:r>
      <w:r>
        <w:rPr>
          <w:rFonts w:hint="eastAsia" w:ascii="方正仿宋_GBK" w:hAnsi="方正仿宋_GBK" w:eastAsia="方正仿宋_GBK" w:cs="方正仿宋_GBK"/>
          <w:color w:val="000000" w:themeColor="text1"/>
          <w:kern w:val="2"/>
          <w:sz w:val="21"/>
          <w:szCs w:val="21"/>
          <w:highlight w:val="none"/>
          <w:lang w:val="en-US" w:eastAsia="zh-CN" w:bidi="ar-SA"/>
          <w14:textFill>
            <w14:solidFill>
              <w14:schemeClr w14:val="tx1"/>
            </w14:solidFill>
          </w14:textFill>
        </w:rPr>
        <w:t>3</w:t>
      </w:r>
      <w:r>
        <w:rPr>
          <w:rFonts w:hint="eastAsia" w:ascii="方正仿宋_GBK" w:hAnsi="方正仿宋_GBK" w:eastAsia="方正仿宋_GBK" w:cs="方正仿宋_GBK"/>
          <w:color w:val="000000" w:themeColor="text1"/>
          <w:kern w:val="2"/>
          <w:sz w:val="21"/>
          <w:szCs w:val="21"/>
          <w:highlight w:val="none"/>
          <w:lang w:val="zh-CN" w:eastAsia="zh-CN" w:bidi="ar-SA"/>
          <w14:textFill>
            <w14:solidFill>
              <w14:schemeClr w14:val="tx1"/>
            </w14:solidFill>
          </w14:textFill>
        </w:rPr>
        <w:t>）违反“</w:t>
      </w:r>
      <w:r>
        <w:rPr>
          <w:rFonts w:hint="eastAsia" w:ascii="方正仿宋_GBK" w:hAnsi="方正仿宋_GBK" w:eastAsia="方正仿宋_GBK" w:cs="方正仿宋_GBK"/>
          <w:color w:val="000000" w:themeColor="text1"/>
          <w:kern w:val="2"/>
          <w:sz w:val="21"/>
          <w:szCs w:val="21"/>
          <w:highlight w:val="none"/>
          <w:lang w:val="en-US" w:eastAsia="zh-CN" w:bidi="ar-SA"/>
          <w14:textFill>
            <w14:solidFill>
              <w14:schemeClr w14:val="tx1"/>
            </w14:solidFill>
          </w14:textFill>
        </w:rPr>
        <w:t>投标函</w:t>
      </w:r>
      <w:r>
        <w:rPr>
          <w:rFonts w:hint="eastAsia" w:ascii="方正仿宋_GBK" w:hAnsi="方正仿宋_GBK" w:eastAsia="方正仿宋_GBK" w:cs="方正仿宋_GBK"/>
          <w:color w:val="000000" w:themeColor="text1"/>
          <w:kern w:val="2"/>
          <w:sz w:val="21"/>
          <w:szCs w:val="21"/>
          <w:highlight w:val="none"/>
          <w:lang w:val="zh-CN" w:eastAsia="zh-CN" w:bidi="ar-SA"/>
          <w14:textFill>
            <w14:solidFill>
              <w14:schemeClr w14:val="tx1"/>
            </w14:solidFill>
          </w14:textFill>
        </w:rPr>
        <w:t>”承诺，在人民法院生效的判决书中被认定在招标人采购活动中存在行贿犯罪记录的，该投标人参与本项目的投标将被否决。</w:t>
      </w:r>
    </w:p>
    <w:p w14:paraId="6EAD4882">
      <w:pPr>
        <w:tabs>
          <w:tab w:val="left" w:pos="1134"/>
        </w:tabs>
        <w:adjustRightInd w:val="0"/>
        <w:snapToGrid w:val="0"/>
        <w:spacing w:beforeLines="0" w:afterLines="0" w:line="400" w:lineRule="exact"/>
        <w:ind w:firstLine="420" w:firstLineChars="200"/>
        <w:rPr>
          <w:rFonts w:hint="eastAsia" w:ascii="方正仿宋_GBK" w:hAnsi="方正仿宋_GBK" w:eastAsia="方正仿宋_GBK" w:cs="方正仿宋_GBK"/>
          <w:color w:val="000000" w:themeColor="text1"/>
          <w:kern w:val="2"/>
          <w:sz w:val="21"/>
          <w:szCs w:val="21"/>
          <w:highlight w:val="none"/>
          <w:lang w:val="zh-CN"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1"/>
          <w:szCs w:val="21"/>
          <w:highlight w:val="none"/>
          <w:lang w:val="zh-CN" w:eastAsia="zh-CN" w:bidi="ar-SA"/>
          <w14:textFill>
            <w14:solidFill>
              <w14:schemeClr w14:val="tx1"/>
            </w14:solidFill>
          </w14:textFill>
        </w:rPr>
        <w:t>3.6 投标人及其投标产品须满足相应招标货物的专用资格要求如下：</w:t>
      </w:r>
    </w:p>
    <w:p w14:paraId="175BD2DC">
      <w:pPr>
        <w:tabs>
          <w:tab w:val="left" w:pos="1134"/>
        </w:tabs>
        <w:adjustRightInd w:val="0"/>
        <w:snapToGrid w:val="0"/>
        <w:spacing w:beforeLines="0" w:afterLines="0" w:line="400" w:lineRule="exact"/>
        <w:ind w:firstLine="420" w:firstLineChars="200"/>
        <w:rPr>
          <w:rFonts w:hint="eastAsia" w:ascii="方正仿宋_GBK" w:hAnsi="方正仿宋_GBK" w:eastAsia="方正仿宋_GBK" w:cs="方正仿宋_GBK"/>
          <w:color w:val="000000" w:themeColor="text1"/>
          <w:kern w:val="2"/>
          <w:sz w:val="21"/>
          <w:szCs w:val="21"/>
          <w:highlight w:val="none"/>
          <w:lang w:val="zh-CN"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1"/>
          <w:szCs w:val="21"/>
          <w:highlight w:val="none"/>
          <w:lang w:val="en-US" w:eastAsia="zh-CN" w:bidi="ar-SA"/>
          <w14:textFill>
            <w14:solidFill>
              <w14:schemeClr w14:val="tx1"/>
            </w14:solidFill>
          </w14:textFill>
        </w:rPr>
        <w:t>详见</w:t>
      </w:r>
      <w:r>
        <w:rPr>
          <w:rFonts w:hint="eastAsia" w:ascii="方正仿宋_GBK" w:hAnsi="方正仿宋_GBK" w:eastAsia="方正仿宋_GBK" w:cs="方正仿宋_GBK"/>
          <w:color w:val="000000" w:themeColor="text1"/>
          <w:kern w:val="2"/>
          <w:sz w:val="21"/>
          <w:szCs w:val="21"/>
          <w:highlight w:val="none"/>
          <w:lang w:val="zh-CN" w:eastAsia="zh-CN" w:bidi="ar-SA"/>
          <w14:textFill>
            <w14:solidFill>
              <w14:schemeClr w14:val="tx1"/>
            </w14:solidFill>
          </w14:textFill>
        </w:rPr>
        <w:t>附件1：招标需求一览表。</w:t>
      </w:r>
    </w:p>
    <w:p w14:paraId="6B66CE65">
      <w:pPr>
        <w:tabs>
          <w:tab w:val="left" w:pos="1134"/>
        </w:tabs>
        <w:adjustRightInd w:val="0"/>
        <w:snapToGrid w:val="0"/>
        <w:spacing w:beforeLines="0" w:afterLines="0" w:line="400" w:lineRule="exact"/>
        <w:ind w:firstLine="420" w:firstLineChars="200"/>
        <w:rPr>
          <w:rFonts w:hint="eastAsia" w:ascii="方正仿宋_GBK" w:hAnsi="方正仿宋_GBK" w:eastAsia="方正仿宋_GBK" w:cs="方正仿宋_GBK"/>
          <w:color w:val="000000" w:themeColor="text1"/>
          <w:kern w:val="2"/>
          <w:sz w:val="21"/>
          <w:szCs w:val="21"/>
          <w:highlight w:val="none"/>
          <w:lang w:val="zh-CN"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1"/>
          <w:szCs w:val="21"/>
          <w:highlight w:val="none"/>
          <w:lang w:val="zh-CN" w:eastAsia="zh-CN" w:bidi="ar-SA"/>
          <w14:textFill>
            <w14:solidFill>
              <w14:schemeClr w14:val="tx1"/>
            </w14:solidFill>
          </w14:textFill>
        </w:rPr>
        <w:t>3.7 本次</w:t>
      </w:r>
      <w:r>
        <w:rPr>
          <w:rFonts w:hint="eastAsia" w:ascii="方正仿宋_GBK" w:hAnsi="方正仿宋_GBK" w:eastAsia="方正仿宋_GBK" w:cs="方正仿宋_GBK"/>
          <w:color w:val="000000" w:themeColor="text1"/>
          <w:kern w:val="2"/>
          <w:sz w:val="21"/>
          <w:szCs w:val="21"/>
          <w:highlight w:val="none"/>
          <w:lang w:val="en-US" w:eastAsia="zh-CN" w:bidi="ar-SA"/>
          <w14:textFill>
            <w14:solidFill>
              <w14:schemeClr w14:val="tx1"/>
            </w14:solidFill>
          </w14:textFill>
        </w:rPr>
        <w:t>招标</w:t>
      </w:r>
      <w:r>
        <w:rPr>
          <w:rFonts w:hint="eastAsia" w:ascii="方正仿宋_GBK" w:hAnsi="方正仿宋_GBK" w:eastAsia="方正仿宋_GBK" w:cs="方正仿宋_GBK"/>
          <w:color w:val="000000" w:themeColor="text1"/>
          <w:kern w:val="2"/>
          <w:sz w:val="21"/>
          <w:szCs w:val="21"/>
          <w:highlight w:val="none"/>
          <w:lang w:val="zh-CN" w:eastAsia="zh-CN" w:bidi="ar-SA"/>
          <w14:textFill>
            <w14:solidFill>
              <w14:schemeClr w14:val="tx1"/>
            </w14:solidFill>
          </w14:textFill>
        </w:rPr>
        <w:t>不接受投标人委托中介机构或者中间人编制投标文件或代行办理投标事宜。</w:t>
      </w:r>
    </w:p>
    <w:p w14:paraId="4F3DC191">
      <w:pPr>
        <w:tabs>
          <w:tab w:val="left" w:pos="1134"/>
        </w:tabs>
        <w:adjustRightInd w:val="0"/>
        <w:snapToGrid w:val="0"/>
        <w:spacing w:beforeLines="0" w:afterLines="0" w:line="400" w:lineRule="exact"/>
        <w:ind w:firstLine="420" w:firstLineChars="200"/>
        <w:rPr>
          <w:rFonts w:hint="eastAsia" w:ascii="方正仿宋_GBK" w:hAnsi="方正仿宋_GBK" w:eastAsia="方正仿宋_GBK" w:cs="方正仿宋_GBK"/>
          <w:color w:val="000000" w:themeColor="text1"/>
          <w:kern w:val="2"/>
          <w:sz w:val="21"/>
          <w:szCs w:val="21"/>
          <w:highlight w:val="none"/>
          <w:lang w:val="zh-CN"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1"/>
          <w:szCs w:val="21"/>
          <w:highlight w:val="none"/>
          <w:lang w:val="zh-CN" w:eastAsia="zh-CN" w:bidi="ar-SA"/>
          <w14:textFill>
            <w14:solidFill>
              <w14:schemeClr w14:val="tx1"/>
            </w14:solidFill>
          </w14:textFill>
        </w:rPr>
        <w:t>3.8 各投标人均可就本次招标的部分或全部标包投标。</w:t>
      </w:r>
    </w:p>
    <w:p w14:paraId="71B371DB">
      <w:pPr>
        <w:tabs>
          <w:tab w:val="left" w:pos="1200"/>
          <w:tab w:val="left" w:pos="3112"/>
          <w:tab w:val="left" w:pos="4600"/>
        </w:tabs>
        <w:spacing w:line="400" w:lineRule="exact"/>
        <w:ind w:firstLine="450" w:firstLineChars="200"/>
        <w:rPr>
          <w:rFonts w:hint="eastAsia" w:ascii="方正仿宋_GBK" w:hAnsi="方正仿宋_GBK" w:eastAsia="方正仿宋_GBK" w:cs="方正仿宋_GBK"/>
          <w:b/>
          <w:bCs/>
          <w:color w:val="000000" w:themeColor="text1"/>
          <w:spacing w:val="7"/>
          <w:sz w:val="21"/>
          <w:szCs w:val="21"/>
          <w:highlight w:val="none"/>
          <w14:textFill>
            <w14:solidFill>
              <w14:schemeClr w14:val="tx1"/>
            </w14:solidFill>
          </w14:textFill>
        </w:rPr>
      </w:pPr>
      <w:r>
        <w:rPr>
          <w:rFonts w:hint="eastAsia" w:ascii="方正仿宋_GBK" w:hAnsi="方正仿宋_GBK" w:eastAsia="方正仿宋_GBK" w:cs="方正仿宋_GBK"/>
          <w:b/>
          <w:bCs/>
          <w:color w:val="000000" w:themeColor="text1"/>
          <w:spacing w:val="7"/>
          <w:sz w:val="21"/>
          <w:szCs w:val="21"/>
          <w:highlight w:val="none"/>
          <w14:textFill>
            <w14:solidFill>
              <w14:schemeClr w14:val="tx1"/>
            </w14:solidFill>
          </w14:textFill>
        </w:rPr>
        <w:t>3.</w:t>
      </w:r>
      <w:r>
        <w:rPr>
          <w:rFonts w:hint="eastAsia" w:ascii="方正仿宋_GBK" w:hAnsi="方正仿宋_GBK" w:eastAsia="方正仿宋_GBK" w:cs="方正仿宋_GBK"/>
          <w:b/>
          <w:bCs/>
          <w:color w:val="000000" w:themeColor="text1"/>
          <w:spacing w:val="7"/>
          <w:sz w:val="21"/>
          <w:szCs w:val="21"/>
          <w:highlight w:val="none"/>
          <w:lang w:val="en-US" w:eastAsia="zh-CN"/>
          <w14:textFill>
            <w14:solidFill>
              <w14:schemeClr w14:val="tx1"/>
            </w14:solidFill>
          </w14:textFill>
        </w:rPr>
        <w:t>9</w:t>
      </w:r>
      <w:r>
        <w:rPr>
          <w:rFonts w:hint="eastAsia" w:ascii="方正仿宋_GBK" w:hAnsi="方正仿宋_GBK" w:eastAsia="方正仿宋_GBK" w:cs="方正仿宋_GBK"/>
          <w:b/>
          <w:bCs/>
          <w:color w:val="000000" w:themeColor="text1"/>
          <w:spacing w:val="7"/>
          <w:sz w:val="21"/>
          <w:szCs w:val="21"/>
          <w:highlight w:val="none"/>
          <w14:textFill>
            <w14:solidFill>
              <w14:schemeClr w14:val="tx1"/>
            </w14:solidFill>
          </w14:textFill>
        </w:rPr>
        <w:t>除专用资格要求中明确接受联合体投标的项目外，不接受联合体投标。</w:t>
      </w:r>
    </w:p>
    <w:p w14:paraId="3C2D56EE">
      <w:pPr>
        <w:tabs>
          <w:tab w:val="left" w:pos="1200"/>
          <w:tab w:val="left" w:pos="3112"/>
          <w:tab w:val="left" w:pos="4600"/>
        </w:tabs>
        <w:spacing w:line="400" w:lineRule="exact"/>
        <w:ind w:firstLine="450" w:firstLineChars="200"/>
        <w:rPr>
          <w:rFonts w:hint="eastAsia" w:ascii="方正仿宋_GBK" w:hAnsi="方正仿宋_GBK" w:eastAsia="方正仿宋_GBK" w:cs="方正仿宋_GBK"/>
          <w:color w:val="000000" w:themeColor="text1"/>
          <w:spacing w:val="7"/>
          <w:sz w:val="21"/>
          <w:szCs w:val="21"/>
          <w:highlight w:val="none"/>
          <w14:textFill>
            <w14:solidFill>
              <w14:schemeClr w14:val="tx1"/>
            </w14:solidFill>
          </w14:textFill>
        </w:rPr>
      </w:pPr>
      <w:r>
        <w:rPr>
          <w:rFonts w:hint="eastAsia" w:ascii="方正仿宋_GBK" w:hAnsi="方正仿宋_GBK" w:eastAsia="方正仿宋_GBK" w:cs="方正仿宋_GBK"/>
          <w:b/>
          <w:bCs/>
          <w:color w:val="000000" w:themeColor="text1"/>
          <w:spacing w:val="7"/>
          <w:sz w:val="21"/>
          <w:szCs w:val="21"/>
          <w:highlight w:val="none"/>
          <w14:textFill>
            <w14:solidFill>
              <w14:schemeClr w14:val="tx1"/>
            </w14:solidFill>
          </w14:textFill>
        </w:rPr>
        <w:t>3.</w:t>
      </w:r>
      <w:r>
        <w:rPr>
          <w:rFonts w:hint="eastAsia" w:ascii="方正仿宋_GBK" w:hAnsi="方正仿宋_GBK" w:eastAsia="方正仿宋_GBK" w:cs="方正仿宋_GBK"/>
          <w:b/>
          <w:bCs/>
          <w:color w:val="000000" w:themeColor="text1"/>
          <w:spacing w:val="7"/>
          <w:sz w:val="21"/>
          <w:szCs w:val="21"/>
          <w:highlight w:val="none"/>
          <w:lang w:val="en-US" w:eastAsia="zh-CN"/>
          <w14:textFill>
            <w14:solidFill>
              <w14:schemeClr w14:val="tx1"/>
            </w14:solidFill>
          </w14:textFill>
        </w:rPr>
        <w:t>10</w:t>
      </w:r>
      <w:r>
        <w:rPr>
          <w:rFonts w:hint="eastAsia" w:ascii="方正仿宋_GBK" w:hAnsi="方正仿宋_GBK" w:eastAsia="方正仿宋_GBK" w:cs="方正仿宋_GBK"/>
          <w:b/>
          <w:bCs/>
          <w:color w:val="000000" w:themeColor="text1"/>
          <w:spacing w:val="7"/>
          <w:sz w:val="21"/>
          <w:szCs w:val="21"/>
          <w:highlight w:val="none"/>
          <w14:textFill>
            <w14:solidFill>
              <w14:schemeClr w14:val="tx1"/>
            </w14:solidFill>
          </w14:textFill>
        </w:rPr>
        <w:t>如接受联合体投标的，投标人还应遵守以下规定：</w:t>
      </w:r>
    </w:p>
    <w:p w14:paraId="62F9AEEF">
      <w:pPr>
        <w:pStyle w:val="10"/>
        <w:tabs>
          <w:tab w:val="left" w:pos="0"/>
        </w:tabs>
        <w:spacing w:line="400" w:lineRule="exact"/>
        <w:ind w:firstLine="420" w:firstLineChars="200"/>
        <w:jc w:val="both"/>
        <w:rPr>
          <w:rFonts w:hint="eastAsia" w:ascii="方正仿宋_GBK" w:hAnsi="方正仿宋_GBK" w:eastAsia="方正仿宋_GBK" w:cs="方正仿宋_GBK"/>
          <w:color w:val="000000" w:themeColor="text1"/>
          <w:kern w:val="2"/>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2"/>
          <w:sz w:val="21"/>
          <w:szCs w:val="21"/>
          <w:highlight w:val="none"/>
          <w14:textFill>
            <w14:solidFill>
              <w14:schemeClr w14:val="tx1"/>
            </w14:solidFill>
          </w14:textFill>
        </w:rPr>
        <w:t>（1）联合体各方均应满足3.1款和3.2款的规定。</w:t>
      </w:r>
    </w:p>
    <w:p w14:paraId="71E4D290">
      <w:pPr>
        <w:pStyle w:val="10"/>
        <w:tabs>
          <w:tab w:val="left" w:pos="0"/>
        </w:tabs>
        <w:spacing w:line="400" w:lineRule="exact"/>
        <w:ind w:firstLine="420" w:firstLineChars="200"/>
        <w:jc w:val="both"/>
        <w:rPr>
          <w:rFonts w:hint="eastAsia" w:ascii="方正仿宋_GBK" w:hAnsi="方正仿宋_GBK" w:eastAsia="方正仿宋_GBK" w:cs="方正仿宋_GBK"/>
          <w:color w:val="000000" w:themeColor="text1"/>
          <w:kern w:val="2"/>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2"/>
          <w:sz w:val="21"/>
          <w:szCs w:val="21"/>
          <w:highlight w:val="none"/>
          <w14:textFill>
            <w14:solidFill>
              <w14:schemeClr w14:val="tx1"/>
            </w14:solidFill>
          </w14:textFill>
        </w:rPr>
        <w:t>（2）联合体各方应按照招标文件提供的格式签订联合体协议书，明确联合体牵头人和各方的权利义务。</w:t>
      </w:r>
    </w:p>
    <w:p w14:paraId="13D16B9A">
      <w:pPr>
        <w:pStyle w:val="10"/>
        <w:tabs>
          <w:tab w:val="left" w:pos="0"/>
        </w:tabs>
        <w:spacing w:line="400" w:lineRule="exact"/>
        <w:ind w:firstLine="420" w:firstLineChars="200"/>
        <w:jc w:val="both"/>
        <w:rPr>
          <w:rFonts w:hint="eastAsia" w:ascii="方正仿宋_GBK" w:hAnsi="方正仿宋_GBK" w:eastAsia="方正仿宋_GBK" w:cs="方正仿宋_GBK"/>
          <w:color w:val="000000" w:themeColor="text1"/>
          <w:kern w:val="2"/>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2"/>
          <w:sz w:val="21"/>
          <w:szCs w:val="21"/>
          <w:highlight w:val="none"/>
          <w14:textFill>
            <w14:solidFill>
              <w14:schemeClr w14:val="tx1"/>
            </w14:solidFill>
          </w14:textFill>
        </w:rPr>
        <w:t>（3）联合体牵头人代表联合体各方负责获取本项目的招标文件及投标工作。</w:t>
      </w:r>
    </w:p>
    <w:p w14:paraId="4A4F4490">
      <w:pPr>
        <w:pStyle w:val="10"/>
        <w:tabs>
          <w:tab w:val="left" w:pos="0"/>
        </w:tabs>
        <w:spacing w:line="400" w:lineRule="exact"/>
        <w:ind w:firstLine="420" w:firstLineChars="200"/>
        <w:jc w:val="both"/>
        <w:rPr>
          <w:rFonts w:hint="eastAsia" w:ascii="方正仿宋_GBK" w:hAnsi="方正仿宋_GBK" w:eastAsia="方正仿宋_GBK" w:cs="方正仿宋_GBK"/>
          <w:color w:val="000000" w:themeColor="text1"/>
          <w:kern w:val="2"/>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2"/>
          <w:sz w:val="21"/>
          <w:szCs w:val="21"/>
          <w:highlight w:val="none"/>
          <w14:textFill>
            <w14:solidFill>
              <w14:schemeClr w14:val="tx1"/>
            </w14:solidFill>
          </w14:textFill>
        </w:rPr>
        <w:t>（4）由同一专业的单位组成的联合体，按照资质等级较低的单位确定资质等级；不同专业分工由不同单位分别承担的，按照各自的专业资质确定联合体的资质。</w:t>
      </w:r>
    </w:p>
    <w:p w14:paraId="1BD47A4C">
      <w:pPr>
        <w:pStyle w:val="10"/>
        <w:tabs>
          <w:tab w:val="left" w:pos="0"/>
        </w:tabs>
        <w:spacing w:line="400" w:lineRule="exact"/>
        <w:ind w:firstLine="420" w:firstLineChars="200"/>
        <w:jc w:val="both"/>
        <w:rPr>
          <w:rFonts w:hint="eastAsia" w:ascii="方正仿宋_GBK" w:hAnsi="方正仿宋_GBK" w:eastAsia="方正仿宋_GBK" w:cs="方正仿宋_GBK"/>
          <w:color w:val="000000" w:themeColor="text1"/>
          <w:kern w:val="2"/>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2"/>
          <w:sz w:val="21"/>
          <w:szCs w:val="21"/>
          <w:highlight w:val="none"/>
          <w14:textFill>
            <w14:solidFill>
              <w14:schemeClr w14:val="tx1"/>
            </w14:solidFill>
          </w14:textFill>
        </w:rPr>
        <w:t>（5）联合体各方不得再以自己名义单独或参加其他联合体在同一标包中投标。</w:t>
      </w:r>
    </w:p>
    <w:p w14:paraId="4E6CEF54">
      <w:pPr>
        <w:tabs>
          <w:tab w:val="left" w:pos="1200"/>
          <w:tab w:val="left" w:pos="3112"/>
          <w:tab w:val="left" w:pos="4600"/>
        </w:tabs>
        <w:spacing w:line="400" w:lineRule="exact"/>
        <w:ind w:firstLine="450" w:firstLineChars="200"/>
        <w:rPr>
          <w:rFonts w:hint="eastAsia" w:ascii="方正仿宋_GBK" w:hAnsi="方正仿宋_GBK" w:eastAsia="方正仿宋_GBK" w:cs="方正仿宋_GBK"/>
          <w:b/>
          <w:bCs w:val="0"/>
          <w:color w:val="auto"/>
          <w:spacing w:val="0"/>
          <w:kern w:val="0"/>
          <w:sz w:val="21"/>
          <w:szCs w:val="21"/>
          <w:highlight w:val="none"/>
          <w:lang w:bidi="en-US"/>
        </w:rPr>
      </w:pPr>
      <w:r>
        <w:rPr>
          <w:rFonts w:hint="eastAsia" w:ascii="方正仿宋_GBK" w:hAnsi="方正仿宋_GBK" w:eastAsia="方正仿宋_GBK" w:cs="方正仿宋_GBK"/>
          <w:b/>
          <w:bCs/>
          <w:color w:val="000000" w:themeColor="text1"/>
          <w:spacing w:val="7"/>
          <w:sz w:val="21"/>
          <w:szCs w:val="21"/>
          <w:highlight w:val="none"/>
          <w14:textFill>
            <w14:solidFill>
              <w14:schemeClr w14:val="tx1"/>
            </w14:solidFill>
          </w14:textFill>
        </w:rPr>
        <w:t>3.</w:t>
      </w:r>
      <w:r>
        <w:rPr>
          <w:rFonts w:hint="eastAsia" w:ascii="方正仿宋_GBK" w:hAnsi="方正仿宋_GBK" w:eastAsia="方正仿宋_GBK" w:cs="方正仿宋_GBK"/>
          <w:b/>
          <w:bCs/>
          <w:color w:val="000000" w:themeColor="text1"/>
          <w:spacing w:val="7"/>
          <w:sz w:val="21"/>
          <w:szCs w:val="21"/>
          <w:highlight w:val="none"/>
          <w:lang w:val="en-US" w:eastAsia="zh-CN"/>
          <w14:textFill>
            <w14:solidFill>
              <w14:schemeClr w14:val="tx1"/>
            </w14:solidFill>
          </w14:textFill>
        </w:rPr>
        <w:t>11</w:t>
      </w:r>
      <w:r>
        <w:rPr>
          <w:rFonts w:hint="eastAsia" w:ascii="方正仿宋_GBK" w:hAnsi="方正仿宋_GBK" w:eastAsia="方正仿宋_GBK" w:cs="方正仿宋_GBK"/>
          <w:b/>
          <w:bCs/>
          <w:color w:val="000000" w:themeColor="text1"/>
          <w:spacing w:val="7"/>
          <w:sz w:val="21"/>
          <w:szCs w:val="21"/>
          <w:highlight w:val="none"/>
          <w14:textFill>
            <w14:solidFill>
              <w14:schemeClr w14:val="tx1"/>
            </w14:solidFill>
          </w14:textFill>
        </w:rPr>
        <w:t xml:space="preserve"> 除专用资格要求中明确接受代理商投标的项目外，不接受代理商投标。</w:t>
      </w:r>
    </w:p>
    <w:p w14:paraId="076D42EC">
      <w:pPr>
        <w:widowControl/>
        <w:adjustRightInd w:val="0"/>
        <w:snapToGrid w:val="0"/>
        <w:spacing w:before="317" w:beforeLines="100" w:after="158" w:afterLines="50" w:line="400" w:lineRule="exact"/>
        <w:jc w:val="left"/>
        <w:outlineLvl w:val="1"/>
        <w:rPr>
          <w:rFonts w:hint="eastAsia" w:ascii="方正仿宋_GBK" w:hAnsi="方正仿宋_GBK" w:eastAsia="方正仿宋_GBK" w:cs="方正仿宋_GBK"/>
          <w:b/>
          <w:color w:val="000000" w:themeColor="text1"/>
          <w:sz w:val="21"/>
          <w:szCs w:val="21"/>
          <w:highlight w:val="none"/>
          <w14:textFill>
            <w14:solidFill>
              <w14:schemeClr w14:val="tx1"/>
            </w14:solidFill>
          </w14:textFill>
        </w:rPr>
      </w:pPr>
      <w:bookmarkStart w:id="15" w:name="_bookmark5"/>
      <w:bookmarkEnd w:id="15"/>
      <w:bookmarkStart w:id="16" w:name="_Toc19223"/>
      <w:bookmarkStart w:id="17" w:name="_Toc12413"/>
      <w:bookmarkStart w:id="18" w:name="_Toc62551532"/>
      <w:bookmarkStart w:id="19" w:name="_Toc18436"/>
      <w:r>
        <w:rPr>
          <w:rFonts w:hint="eastAsia" w:ascii="方正仿宋_GBK" w:hAnsi="方正仿宋_GBK" w:eastAsia="方正仿宋_GBK" w:cs="方正仿宋_GBK"/>
          <w:b/>
          <w:color w:val="auto"/>
          <w:kern w:val="0"/>
          <w:sz w:val="21"/>
          <w:szCs w:val="21"/>
          <w:highlight w:val="none"/>
          <w:lang w:bidi="en-US"/>
        </w:rPr>
        <w:t>4</w:t>
      </w:r>
      <w:r>
        <w:rPr>
          <w:rFonts w:hint="eastAsia" w:ascii="方正仿宋_GBK" w:hAnsi="方正仿宋_GBK" w:eastAsia="方正仿宋_GBK" w:cs="方正仿宋_GBK"/>
          <w:b/>
          <w:color w:val="000000" w:themeColor="text1"/>
          <w:sz w:val="21"/>
          <w:szCs w:val="21"/>
          <w:highlight w:val="none"/>
          <w14:textFill>
            <w14:solidFill>
              <w14:schemeClr w14:val="tx1"/>
            </w14:solidFill>
          </w14:textFill>
        </w:rPr>
        <w:t>.招标文件的获取</w:t>
      </w:r>
      <w:bookmarkEnd w:id="16"/>
      <w:bookmarkEnd w:id="17"/>
      <w:bookmarkEnd w:id="18"/>
      <w:bookmarkEnd w:id="19"/>
    </w:p>
    <w:p w14:paraId="5EDA3BDB">
      <w:pPr>
        <w:tabs>
          <w:tab w:val="left" w:pos="1200"/>
          <w:tab w:val="left" w:pos="3112"/>
          <w:tab w:val="left" w:pos="4600"/>
        </w:tabs>
        <w:spacing w:line="400" w:lineRule="exact"/>
        <w:ind w:firstLine="450" w:firstLineChars="200"/>
        <w:rPr>
          <w:rFonts w:hint="eastAsia" w:ascii="方正仿宋_GBK" w:hAnsi="方正仿宋_GBK" w:eastAsia="方正仿宋_GBK" w:cs="方正仿宋_GBK"/>
          <w:b/>
          <w:bCs/>
          <w:color w:val="000000" w:themeColor="text1"/>
          <w:spacing w:val="7"/>
          <w:sz w:val="21"/>
          <w:szCs w:val="21"/>
          <w:highlight w:val="none"/>
          <w14:textFill>
            <w14:solidFill>
              <w14:schemeClr w14:val="tx1"/>
            </w14:solidFill>
          </w14:textFill>
        </w:rPr>
      </w:pPr>
      <w:r>
        <w:rPr>
          <w:rFonts w:hint="eastAsia" w:ascii="方正仿宋_GBK" w:hAnsi="方正仿宋_GBK" w:eastAsia="方正仿宋_GBK" w:cs="方正仿宋_GBK"/>
          <w:b/>
          <w:bCs/>
          <w:color w:val="000000" w:themeColor="text1"/>
          <w:spacing w:val="7"/>
          <w:sz w:val="21"/>
          <w:szCs w:val="21"/>
          <w:highlight w:val="none"/>
          <w14:textFill>
            <w14:solidFill>
              <w14:schemeClr w14:val="tx1"/>
            </w14:solidFill>
          </w14:textFill>
        </w:rPr>
        <w:t>4.1 招标文件（电子文件）免费获取。</w:t>
      </w:r>
    </w:p>
    <w:p w14:paraId="734CD544">
      <w:pPr>
        <w:pStyle w:val="10"/>
        <w:ind w:firstLine="482"/>
        <w:rPr>
          <w:rFonts w:hint="eastAsia" w:ascii="方正仿宋_GBK" w:hAnsi="方正仿宋_GBK" w:eastAsia="方正仿宋_GBK" w:cs="方正仿宋_GBK"/>
          <w:b w:val="0"/>
          <w:bCs w:val="0"/>
          <w:i w:val="0"/>
          <w:iCs w:val="0"/>
          <w:color w:val="000000" w:themeColor="text1"/>
          <w:sz w:val="21"/>
          <w:szCs w:val="21"/>
          <w:highlight w:val="none"/>
          <w:u w:val="none"/>
          <w14:textFill>
            <w14:solidFill>
              <w14:schemeClr w14:val="tx1"/>
            </w14:solidFill>
          </w14:textFill>
        </w:rPr>
      </w:pPr>
      <w:r>
        <w:rPr>
          <w:rFonts w:hint="eastAsia" w:ascii="方正仿宋_GBK" w:hAnsi="方正仿宋_GBK" w:eastAsia="方正仿宋_GBK" w:cs="方正仿宋_GBK"/>
          <w:b/>
          <w:bCs/>
          <w:color w:val="000000" w:themeColor="text1"/>
          <w:kern w:val="2"/>
          <w:sz w:val="21"/>
          <w:szCs w:val="21"/>
          <w:highlight w:val="none"/>
          <w:lang w:val="en-US"/>
          <w14:textFill>
            <w14:solidFill>
              <w14:schemeClr w14:val="tx1"/>
            </w14:solidFill>
          </w14:textFill>
        </w:rPr>
        <w:t>4.2</w:t>
      </w:r>
      <w:r>
        <w:rPr>
          <w:rFonts w:hint="eastAsia" w:ascii="方正仿宋_GBK" w:hAnsi="方正仿宋_GBK" w:eastAsia="方正仿宋_GBK" w:cs="方正仿宋_GBK"/>
          <w:b w:val="0"/>
          <w:bCs w:val="0"/>
          <w:i w:val="0"/>
          <w:iCs w:val="0"/>
          <w:color w:val="000000" w:themeColor="text1"/>
          <w:sz w:val="21"/>
          <w:szCs w:val="21"/>
          <w:highlight w:val="none"/>
          <w:u w:val="none"/>
          <w14:textFill>
            <w14:solidFill>
              <w14:schemeClr w14:val="tx1"/>
            </w14:solidFill>
          </w14:textFill>
        </w:rPr>
        <w:t>凡有意参加投标者，请于</w:t>
      </w:r>
      <w:r>
        <w:rPr>
          <w:rFonts w:hint="eastAsia" w:ascii="方正仿宋_GBK" w:hAnsi="方正仿宋_GBK" w:eastAsia="方正仿宋_GBK" w:cs="方正仿宋_GBK"/>
          <w:b/>
          <w:bCs/>
          <w:i w:val="0"/>
          <w:iCs w:val="0"/>
          <w:color w:val="000000" w:themeColor="text1"/>
          <w:sz w:val="21"/>
          <w:szCs w:val="21"/>
          <w:highlight w:val="none"/>
          <w:u w:val="none"/>
          <w:lang w:eastAsia="zh-CN"/>
          <w14:textFill>
            <w14:solidFill>
              <w14:schemeClr w14:val="tx1"/>
            </w14:solidFill>
          </w14:textFill>
        </w:rPr>
        <w:t>2025年1月22日-2025年2月5日</w:t>
      </w:r>
      <w:r>
        <w:rPr>
          <w:rFonts w:hint="eastAsia" w:ascii="方正仿宋_GBK" w:hAnsi="方正仿宋_GBK" w:eastAsia="方正仿宋_GBK" w:cs="方正仿宋_GBK"/>
          <w:b/>
          <w:bCs/>
          <w:i w:val="0"/>
          <w:iCs w:val="0"/>
          <w:color w:val="000000" w:themeColor="text1"/>
          <w:sz w:val="21"/>
          <w:szCs w:val="21"/>
          <w:highlight w:val="none"/>
          <w:u w:val="none"/>
          <w14:textFill>
            <w14:solidFill>
              <w14:schemeClr w14:val="tx1"/>
            </w14:solidFill>
          </w14:textFill>
        </w:rPr>
        <w:t>17:00时（</w:t>
      </w:r>
      <w:r>
        <w:rPr>
          <w:rFonts w:hint="eastAsia" w:ascii="方正仿宋_GBK" w:hAnsi="方正仿宋_GBK" w:eastAsia="方正仿宋_GBK" w:cs="方正仿宋_GBK"/>
          <w:b w:val="0"/>
          <w:bCs w:val="0"/>
          <w:i w:val="0"/>
          <w:iCs w:val="0"/>
          <w:color w:val="000000" w:themeColor="text1"/>
          <w:sz w:val="21"/>
          <w:szCs w:val="21"/>
          <w:highlight w:val="none"/>
          <w:u w:val="none"/>
          <w14:textFill>
            <w14:solidFill>
              <w14:schemeClr w14:val="tx1"/>
            </w14:solidFill>
          </w14:textFill>
        </w:rPr>
        <w:t>北京时间，下同），</w:t>
      </w:r>
      <w:bookmarkStart w:id="20" w:name="OLE_LINK2"/>
      <w:r>
        <w:rPr>
          <w:rFonts w:hint="eastAsia" w:ascii="方正仿宋_GBK" w:hAnsi="方正仿宋_GBK" w:eastAsia="方正仿宋_GBK" w:cs="方正仿宋_GBK"/>
          <w:b w:val="0"/>
          <w:bCs w:val="0"/>
          <w:i w:val="0"/>
          <w:iCs w:val="0"/>
          <w:color w:val="000000" w:themeColor="text1"/>
          <w:sz w:val="21"/>
          <w:szCs w:val="21"/>
          <w:highlight w:val="none"/>
          <w:u w:val="none"/>
          <w14:textFill>
            <w14:solidFill>
              <w14:schemeClr w14:val="tx1"/>
            </w14:solidFill>
          </w14:textFill>
        </w:rPr>
        <w:t>登录招标人招投标交易平台信息系统（国家电网有限公司电子商务平台-电工交易专区https://sgccetp.com.cn/portal/，下同）获取招标文件，并按《电子招标投标办法》等国家法律法规要求，到第三方认证机构办理CA证书电子钥匙。投标人应妥善保管招标人招投标交易平台信息系统账号和密码，以及CA数字证书和密码，因上述账号、数字证书或密码保管不当造成的损失，由投标人自行承担</w:t>
      </w:r>
      <w:bookmarkEnd w:id="20"/>
      <w:r>
        <w:rPr>
          <w:rFonts w:hint="eastAsia" w:ascii="方正仿宋_GBK" w:hAnsi="方正仿宋_GBK" w:eastAsia="方正仿宋_GBK" w:cs="方正仿宋_GBK"/>
          <w:b w:val="0"/>
          <w:bCs w:val="0"/>
          <w:i w:val="0"/>
          <w:iCs w:val="0"/>
          <w:color w:val="000000" w:themeColor="text1"/>
          <w:sz w:val="21"/>
          <w:szCs w:val="21"/>
          <w:highlight w:val="none"/>
          <w:u w:val="none"/>
          <w14:textFill>
            <w14:solidFill>
              <w14:schemeClr w14:val="tx1"/>
            </w14:solidFill>
          </w14:textFill>
        </w:rPr>
        <w:t>。</w:t>
      </w:r>
    </w:p>
    <w:p w14:paraId="256352FA">
      <w:pPr>
        <w:tabs>
          <w:tab w:val="left" w:pos="0"/>
        </w:tabs>
        <w:spacing w:line="400" w:lineRule="exact"/>
        <w:ind w:firstLine="420" w:firstLineChars="200"/>
        <w:jc w:val="both"/>
        <w:rPr>
          <w:rFonts w:hint="eastAsia" w:ascii="方正仿宋_GBK" w:hAnsi="方正仿宋_GBK" w:eastAsia="方正仿宋_GBK" w:cs="方正仿宋_GBK"/>
          <w:b w:val="0"/>
          <w:bCs w:val="0"/>
          <w:i w:val="0"/>
          <w:iCs w:val="0"/>
          <w:color w:val="000000" w:themeColor="text1"/>
          <w:sz w:val="21"/>
          <w:szCs w:val="21"/>
          <w:highlight w:val="none"/>
          <w:u w:val="none"/>
          <w14:textFill>
            <w14:solidFill>
              <w14:schemeClr w14:val="tx1"/>
            </w14:solidFill>
          </w14:textFill>
        </w:rPr>
      </w:pPr>
      <w:r>
        <w:rPr>
          <w:rFonts w:hint="eastAsia" w:ascii="方正仿宋_GBK" w:hAnsi="方正仿宋_GBK" w:eastAsia="方正仿宋_GBK" w:cs="方正仿宋_GBK"/>
          <w:b w:val="0"/>
          <w:bCs w:val="0"/>
          <w:i w:val="0"/>
          <w:iCs w:val="0"/>
          <w:color w:val="000000" w:themeColor="text1"/>
          <w:sz w:val="21"/>
          <w:szCs w:val="21"/>
          <w:highlight w:val="none"/>
          <w:u w:val="none"/>
          <w14:textFill>
            <w14:solidFill>
              <w14:schemeClr w14:val="tx1"/>
            </w14:solidFill>
          </w14:textFill>
        </w:rPr>
        <w:t>投标人应在招标人招投标交易平台信息系统注册并办理CA证书电子钥匙方可获取招标文件，电子钥匙的办理流程请登录招标人招投标交易平台信息系统首页“供应商应用指南”→平台注册→“电脑配置及电子钥匙”下载所有文件仔细阅读。电子钥匙的办理需要一定的时间，请潜在投标人高度重视。由于没有及时办理电子钥匙导致获取招标文件失败，由投标人自行承担相关责任。支持电话为：4009915500。</w:t>
      </w:r>
    </w:p>
    <w:p w14:paraId="7C104BFD">
      <w:pPr>
        <w:tabs>
          <w:tab w:val="left" w:pos="0"/>
        </w:tabs>
        <w:spacing w:line="400" w:lineRule="exact"/>
        <w:ind w:firstLine="420" w:firstLineChars="200"/>
        <w:jc w:val="both"/>
        <w:rPr>
          <w:rFonts w:hint="eastAsia" w:ascii="方正仿宋_GBK" w:hAnsi="方正仿宋_GBK" w:eastAsia="方正仿宋_GBK" w:cs="方正仿宋_GBK"/>
          <w:color w:val="000000" w:themeColor="text1"/>
          <w:kern w:val="2"/>
          <w:sz w:val="21"/>
          <w:szCs w:val="21"/>
          <w:highlight w:val="none"/>
          <w14:textFill>
            <w14:solidFill>
              <w14:schemeClr w14:val="tx1"/>
            </w14:solidFill>
          </w14:textFill>
        </w:rPr>
      </w:pPr>
      <w:r>
        <w:rPr>
          <w:rFonts w:hint="eastAsia" w:ascii="方正仿宋_GBK" w:hAnsi="方正仿宋_GBK" w:eastAsia="方正仿宋_GBK" w:cs="方正仿宋_GBK"/>
          <w:b w:val="0"/>
          <w:bCs w:val="0"/>
          <w:i w:val="0"/>
          <w:iCs w:val="0"/>
          <w:color w:val="000000" w:themeColor="text1"/>
          <w:sz w:val="21"/>
          <w:szCs w:val="21"/>
          <w:highlight w:val="none"/>
          <w:u w:val="none"/>
          <w:lang w:val="en-US" w:eastAsia="zh-CN"/>
          <w14:textFill>
            <w14:solidFill>
              <w14:schemeClr w14:val="tx1"/>
            </w14:solidFill>
          </w14:textFill>
        </w:rPr>
        <w:t>4.3</w:t>
      </w:r>
      <w:r>
        <w:rPr>
          <w:rFonts w:hint="eastAsia" w:ascii="方正仿宋_GBK" w:hAnsi="方正仿宋_GBK" w:eastAsia="方正仿宋_GBK" w:cs="方正仿宋_GBK"/>
          <w:b w:val="0"/>
          <w:bCs w:val="0"/>
          <w:i w:val="0"/>
          <w:iCs w:val="0"/>
          <w:color w:val="000000" w:themeColor="text1"/>
          <w:sz w:val="21"/>
          <w:szCs w:val="21"/>
          <w:highlight w:val="none"/>
          <w:u w:val="none"/>
          <w14:textFill>
            <w14:solidFill>
              <w14:schemeClr w14:val="tx1"/>
            </w14:solidFill>
          </w14:textFill>
        </w:rPr>
        <w:t>投标工具下载方式：请各</w:t>
      </w:r>
      <w:r>
        <w:rPr>
          <w:rFonts w:hint="eastAsia" w:ascii="方正仿宋_GBK" w:hAnsi="方正仿宋_GBK" w:eastAsia="方正仿宋_GBK" w:cs="方正仿宋_GBK"/>
          <w:b w:val="0"/>
          <w:bCs w:val="0"/>
          <w:i w:val="0"/>
          <w:iCs w:val="0"/>
          <w:color w:val="000000" w:themeColor="text1"/>
          <w:sz w:val="21"/>
          <w:szCs w:val="21"/>
          <w:highlight w:val="none"/>
          <w:u w:val="none"/>
          <w:lang w:eastAsia="zh-CN"/>
          <w14:textFill>
            <w14:solidFill>
              <w14:schemeClr w14:val="tx1"/>
            </w14:solidFill>
          </w14:textFill>
        </w:rPr>
        <w:t>投标人</w:t>
      </w:r>
      <w:r>
        <w:rPr>
          <w:rFonts w:hint="eastAsia" w:ascii="方正仿宋_GBK" w:hAnsi="方正仿宋_GBK" w:eastAsia="方正仿宋_GBK" w:cs="方正仿宋_GBK"/>
          <w:b w:val="0"/>
          <w:bCs w:val="0"/>
          <w:i w:val="0"/>
          <w:iCs w:val="0"/>
          <w:color w:val="000000" w:themeColor="text1"/>
          <w:sz w:val="21"/>
          <w:szCs w:val="21"/>
          <w:highlight w:val="none"/>
          <w:u w:val="none"/>
          <w14:textFill>
            <w14:solidFill>
              <w14:schemeClr w14:val="tx1"/>
            </w14:solidFill>
          </w14:textFill>
        </w:rPr>
        <w:t>在</w:t>
      </w:r>
      <w:r>
        <w:rPr>
          <w:rFonts w:hint="eastAsia" w:ascii="方正仿宋_GBK" w:hAnsi="方正仿宋_GBK" w:eastAsia="方正仿宋_GBK" w:cs="方正仿宋_GBK"/>
          <w:b w:val="0"/>
          <w:bCs w:val="0"/>
          <w:i w:val="0"/>
          <w:iCs w:val="0"/>
          <w:color w:val="000000" w:themeColor="text1"/>
          <w:sz w:val="21"/>
          <w:szCs w:val="21"/>
          <w:highlight w:val="none"/>
          <w:u w:val="none"/>
          <w:lang w:eastAsia="zh-CN"/>
          <w14:textFill>
            <w14:solidFill>
              <w14:schemeClr w14:val="tx1"/>
            </w14:solidFill>
          </w14:textFill>
        </w:rPr>
        <w:t>招标人</w:t>
      </w:r>
      <w:r>
        <w:rPr>
          <w:rFonts w:hint="eastAsia" w:ascii="方正仿宋_GBK" w:hAnsi="方正仿宋_GBK" w:eastAsia="方正仿宋_GBK" w:cs="方正仿宋_GBK"/>
          <w:b w:val="0"/>
          <w:bCs w:val="0"/>
          <w:i w:val="0"/>
          <w:iCs w:val="0"/>
          <w:color w:val="000000" w:themeColor="text1"/>
          <w:sz w:val="21"/>
          <w:szCs w:val="21"/>
          <w:highlight w:val="none"/>
          <w:u w:val="none"/>
          <w14:textFill>
            <w14:solidFill>
              <w14:schemeClr w14:val="tx1"/>
            </w14:solidFill>
          </w14:textFill>
        </w:rPr>
        <w:t>招投标交易平台信息系统首页“供应商应用指南→参与投标→投标工具安装”下载并安装。操作手册及常见问题见首页“供应商应用指南”→操作手册（常见问题）”。投标工具操作问题联系</w:t>
      </w:r>
      <w:r>
        <w:rPr>
          <w:rFonts w:hint="eastAsia" w:ascii="方正仿宋_GBK" w:hAnsi="方正仿宋_GBK" w:eastAsia="方正仿宋_GBK" w:cs="方正仿宋_GBK"/>
          <w:b w:val="0"/>
          <w:bCs w:val="0"/>
          <w:i w:val="0"/>
          <w:iCs w:val="0"/>
          <w:color w:val="000000" w:themeColor="text1"/>
          <w:sz w:val="21"/>
          <w:szCs w:val="21"/>
          <w:highlight w:val="none"/>
          <w:u w:val="none"/>
          <w:lang w:eastAsia="zh-CN"/>
          <w14:textFill>
            <w14:solidFill>
              <w14:schemeClr w14:val="tx1"/>
            </w14:solidFill>
          </w14:textFill>
        </w:rPr>
        <w:t>招标人</w:t>
      </w:r>
      <w:r>
        <w:rPr>
          <w:rFonts w:hint="eastAsia" w:ascii="方正仿宋_GBK" w:hAnsi="方正仿宋_GBK" w:eastAsia="方正仿宋_GBK" w:cs="方正仿宋_GBK"/>
          <w:b w:val="0"/>
          <w:bCs w:val="0"/>
          <w:i w:val="0"/>
          <w:iCs w:val="0"/>
          <w:color w:val="000000" w:themeColor="text1"/>
          <w:sz w:val="21"/>
          <w:szCs w:val="21"/>
          <w:highlight w:val="none"/>
          <w:u w:val="none"/>
          <w14:textFill>
            <w14:solidFill>
              <w14:schemeClr w14:val="tx1"/>
            </w14:solidFill>
          </w14:textFill>
        </w:rPr>
        <w:t>招投标交易平台信息系统运维支持电话：010-63411000。</w:t>
      </w:r>
    </w:p>
    <w:p w14:paraId="3DCC195E">
      <w:pPr>
        <w:adjustRightInd w:val="0"/>
        <w:snapToGrid w:val="0"/>
        <w:spacing w:beforeLines="100" w:afterLines="50" w:line="400" w:lineRule="exact"/>
        <w:outlineLvl w:val="1"/>
        <w:rPr>
          <w:rFonts w:hint="eastAsia" w:ascii="方正仿宋_GBK" w:hAnsi="方正仿宋_GBK" w:eastAsia="方正仿宋_GBK" w:cs="方正仿宋_GBK"/>
          <w:b/>
          <w:color w:val="000000" w:themeColor="text1"/>
          <w:sz w:val="21"/>
          <w:szCs w:val="21"/>
          <w:highlight w:val="none"/>
          <w14:textFill>
            <w14:solidFill>
              <w14:schemeClr w14:val="tx1"/>
            </w14:solidFill>
          </w14:textFill>
        </w:rPr>
      </w:pPr>
      <w:bookmarkStart w:id="21" w:name="_bookmark6"/>
      <w:bookmarkEnd w:id="21"/>
      <w:bookmarkStart w:id="22" w:name="_Toc30381"/>
      <w:bookmarkStart w:id="23" w:name="_Toc31762"/>
      <w:bookmarkStart w:id="24" w:name="_Toc62551533"/>
      <w:bookmarkStart w:id="25" w:name="_Toc15733"/>
      <w:r>
        <w:rPr>
          <w:rFonts w:hint="eastAsia" w:ascii="方正仿宋_GBK" w:hAnsi="方正仿宋_GBK" w:eastAsia="方正仿宋_GBK" w:cs="方正仿宋_GBK"/>
          <w:b/>
          <w:color w:val="000000" w:themeColor="text1"/>
          <w:sz w:val="21"/>
          <w:szCs w:val="21"/>
          <w:highlight w:val="none"/>
          <w14:textFill>
            <w14:solidFill>
              <w14:schemeClr w14:val="tx1"/>
            </w14:solidFill>
          </w14:textFill>
        </w:rPr>
        <w:t>5.投标文件的</w:t>
      </w:r>
      <w:bookmarkEnd w:id="22"/>
      <w:bookmarkEnd w:id="23"/>
      <w:bookmarkEnd w:id="24"/>
      <w:bookmarkEnd w:id="25"/>
      <w:r>
        <w:rPr>
          <w:rFonts w:hint="eastAsia" w:ascii="方正仿宋_GBK" w:hAnsi="方正仿宋_GBK" w:eastAsia="方正仿宋_GBK" w:cs="方正仿宋_GBK"/>
          <w:b/>
          <w:color w:val="000000" w:themeColor="text1"/>
          <w:sz w:val="21"/>
          <w:szCs w:val="21"/>
          <w:highlight w:val="none"/>
          <w14:textFill>
            <w14:solidFill>
              <w14:schemeClr w14:val="tx1"/>
            </w14:solidFill>
          </w14:textFill>
        </w:rPr>
        <w:t>提交</w:t>
      </w:r>
    </w:p>
    <w:p w14:paraId="1D8DB08B">
      <w:pPr>
        <w:spacing w:beforeLines="-2147483648" w:afterLines="-2147483648" w:line="400" w:lineRule="exact"/>
        <w:ind w:firstLine="422" w:firstLineChars="200"/>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pPr>
      <w:bookmarkStart w:id="26" w:name="_bookmark7"/>
      <w:bookmarkEnd w:id="26"/>
      <w:r>
        <w:rPr>
          <w:rFonts w:hint="eastAsia" w:ascii="方正仿宋_GBK" w:hAnsi="方正仿宋_GBK" w:eastAsia="方正仿宋_GBK" w:cs="方正仿宋_GBK"/>
          <w:b/>
          <w:bCs/>
          <w:color w:val="000000" w:themeColor="text1"/>
          <w:sz w:val="21"/>
          <w:szCs w:val="21"/>
          <w:highlight w:val="none"/>
          <w:lang w:val="en-US" w:eastAsia="zh-CN"/>
          <w14:textFill>
            <w14:solidFill>
              <w14:schemeClr w14:val="tx1"/>
            </w14:solidFill>
          </w14:textFill>
        </w:rPr>
        <w:t>5.1 投标文件提交的截止时间（投标截止时间，下同）为2025年2月13日09:00时（北京时间）。</w:t>
      </w:r>
    </w:p>
    <w:p w14:paraId="362B9A21">
      <w:pPr>
        <w:spacing w:beforeLines="-2147483648" w:afterLines="-2147483648" w:line="400" w:lineRule="exact"/>
        <w:ind w:firstLine="422" w:firstLineChars="200"/>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21"/>
          <w:szCs w:val="21"/>
          <w:highlight w:val="none"/>
          <w:lang w:val="en-US" w:eastAsia="zh-CN"/>
          <w14:textFill>
            <w14:solidFill>
              <w14:schemeClr w14:val="tx1"/>
            </w14:solidFill>
          </w14:textFill>
        </w:rPr>
        <w:t>投标文件提交时间：</w:t>
      </w: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所有投标文件应当在投标截止时间前递交（提交）招标人。</w:t>
      </w:r>
    </w:p>
    <w:p w14:paraId="2F6A5197">
      <w:pPr>
        <w:spacing w:beforeLines="-2147483648" w:afterLines="-2147483648" w:line="400" w:lineRule="exact"/>
        <w:ind w:firstLine="422" w:firstLineChars="200"/>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21"/>
          <w:szCs w:val="21"/>
          <w:highlight w:val="none"/>
          <w:lang w:val="en-US" w:eastAsia="zh-CN"/>
          <w14:textFill>
            <w14:solidFill>
              <w14:schemeClr w14:val="tx1"/>
            </w14:solidFill>
          </w14:textFill>
        </w:rPr>
        <w:t>投标文件提交地点：</w:t>
      </w: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电子投标文件提交招标人招投标交易平台信息系统，纸质版投标文件通过邮寄/现场递交的方式递交。</w:t>
      </w:r>
    </w:p>
    <w:p w14:paraId="63560124">
      <w:pPr>
        <w:spacing w:beforeLines="-2147483648" w:afterLines="-2147483648" w:line="400" w:lineRule="exact"/>
        <w:ind w:firstLine="422" w:firstLineChars="200"/>
        <w:rPr>
          <w:rFonts w:hint="eastAsia" w:ascii="方正仿宋_GBK" w:hAnsi="方正仿宋_GBK" w:eastAsia="方正仿宋_GBK" w:cs="方正仿宋_GBK"/>
          <w:b/>
          <w:bCs/>
          <w:color w:val="000000" w:themeColor="text1"/>
          <w:sz w:val="21"/>
          <w:szCs w:val="21"/>
          <w:highlight w:val="none"/>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21"/>
          <w:szCs w:val="21"/>
          <w:highlight w:val="none"/>
          <w:lang w:val="en-US" w:eastAsia="zh-CN"/>
          <w14:textFill>
            <w14:solidFill>
              <w14:schemeClr w14:val="tx1"/>
            </w14:solidFill>
          </w14:textFill>
        </w:rPr>
        <w:t>电子投标文件递交方式详见第六章投标文件格式。由于受电子商务平台-电工交易专区容量限制，投标人须提供纸质版投标文件，要求通过邮寄纸质/现场递交等提交的文件，应在投标截止时间前完成上传提交。</w:t>
      </w:r>
    </w:p>
    <w:p w14:paraId="52EC883F">
      <w:pPr>
        <w:spacing w:beforeLines="-2147483648" w:afterLines="-2147483648" w:line="400" w:lineRule="exact"/>
        <w:ind w:firstLine="420" w:firstLineChars="200"/>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纸质版投标文件邮寄/现场递交接收地址、时间及联系方式：</w:t>
      </w:r>
    </w:p>
    <w:p w14:paraId="05D653C8">
      <w:pPr>
        <w:spacing w:beforeLines="-2147483648" w:afterLines="-2147483648" w:line="400" w:lineRule="exact"/>
        <w:ind w:firstLine="420" w:firstLineChars="200"/>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收件人：时玲方，联系电话：15562423673。</w:t>
      </w:r>
    </w:p>
    <w:p w14:paraId="79DBA7A7">
      <w:pPr>
        <w:spacing w:beforeLines="-2147483648" w:afterLines="-2147483648" w:line="400" w:lineRule="exact"/>
        <w:ind w:firstLine="420" w:firstLineChars="200"/>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收件地址：</w:t>
      </w:r>
      <w:r>
        <w:rPr>
          <w:rFonts w:hint="eastAsia" w:ascii="方正仿宋_GBK" w:hAnsi="方正仿宋_GBK" w:eastAsia="方正仿宋_GBK" w:cs="方正仿宋_GBK"/>
          <w:b/>
          <w:bCs/>
          <w:color w:val="000000" w:themeColor="text1"/>
          <w:sz w:val="21"/>
          <w:szCs w:val="21"/>
          <w:highlight w:val="none"/>
          <w:lang w:val="en-US" w:eastAsia="zh-CN"/>
          <w14:textFill>
            <w14:solidFill>
              <w14:schemeClr w14:val="tx1"/>
            </w14:solidFill>
          </w14:textFill>
        </w:rPr>
        <w:t>2025年2月12日17:00</w:t>
      </w: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时之前采用邮寄/现场递交方式递交纸质投标文件到下述收件地址（济南市市中区二环南路3377号绿地新都会A1-3号写字楼11层1102室）；</w:t>
      </w:r>
      <w:r>
        <w:rPr>
          <w:rFonts w:hint="eastAsia" w:ascii="方正仿宋_GBK" w:hAnsi="方正仿宋_GBK" w:eastAsia="方正仿宋_GBK" w:cs="方正仿宋_GBK"/>
          <w:b/>
          <w:bCs/>
          <w:color w:val="000000" w:themeColor="text1"/>
          <w:sz w:val="21"/>
          <w:szCs w:val="21"/>
          <w:highlight w:val="none"/>
          <w:lang w:val="en-US" w:eastAsia="zh-CN"/>
          <w14:textFill>
            <w14:solidFill>
              <w14:schemeClr w14:val="tx1"/>
            </w14:solidFill>
          </w14:textFill>
        </w:rPr>
        <w:t>如2025年2月12日未递交，可于2025年2月13日当日09:00</w:t>
      </w: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时之前采用现场递交方式递交纸质投标文件到下述收件地址（济南市天桥区少年路12号彩虹大酒店。注：该收件地址仅</w:t>
      </w:r>
      <w:r>
        <w:rPr>
          <w:rFonts w:hint="eastAsia" w:ascii="方正仿宋_GBK" w:hAnsi="方正仿宋_GBK" w:eastAsia="方正仿宋_GBK" w:cs="方正仿宋_GBK"/>
          <w:b/>
          <w:bCs/>
          <w:color w:val="000000" w:themeColor="text1"/>
          <w:sz w:val="21"/>
          <w:szCs w:val="21"/>
          <w:highlight w:val="none"/>
          <w:lang w:val="en-US" w:eastAsia="zh-CN"/>
          <w14:textFill>
            <w14:solidFill>
              <w14:schemeClr w14:val="tx1"/>
            </w14:solidFill>
          </w14:textFill>
        </w:rPr>
        <w:t>2025年2月13日当日09:00时前有效</w:t>
      </w:r>
      <w:r>
        <w:rPr>
          <w:rFonts w:hint="eastAsia" w:ascii="方正仿宋_GBK" w:hAnsi="方正仿宋_GBK" w:eastAsia="方正仿宋_GBK" w:cs="方正仿宋_GBK"/>
          <w:b w:val="0"/>
          <w:bCs w:val="0"/>
          <w:color w:val="000000" w:themeColor="text1"/>
          <w:sz w:val="21"/>
          <w:szCs w:val="21"/>
          <w:highlight w:val="none"/>
          <w:lang w:val="en-US" w:eastAsia="zh-CN"/>
          <w14:textFill>
            <w14:solidFill>
              <w14:schemeClr w14:val="tx1"/>
            </w14:solidFill>
          </w14:textFill>
        </w:rPr>
        <w:t>）</w:t>
      </w: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w:t>
      </w:r>
    </w:p>
    <w:p w14:paraId="739717A5">
      <w:pPr>
        <w:spacing w:beforeLines="-2147483648" w:afterLines="-2147483648" w:line="400" w:lineRule="exact"/>
        <w:ind w:firstLine="420" w:firstLineChars="200"/>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5.2 投标截止时间之前未成功提交至招标人招投标交易平台信息系统的电子投标文件，招标人不予受理。不接受未按规定加密的投标文件及投标文件的修改文件。</w:t>
      </w:r>
    </w:p>
    <w:p w14:paraId="5F3A2A89">
      <w:pPr>
        <w:spacing w:beforeLines="-2147483648" w:afterLines="-2147483648" w:line="400" w:lineRule="exact"/>
        <w:ind w:firstLine="420" w:firstLineChars="200"/>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5.3未按招标公告规定的时间和方式获取并下载招标文件的投标，招标人将不予受理。</w:t>
      </w:r>
    </w:p>
    <w:p w14:paraId="15D3CE34">
      <w:pPr>
        <w:spacing w:beforeLines="-2147483648" w:afterLines="-2147483648" w:line="400" w:lineRule="exact"/>
        <w:ind w:firstLine="422" w:firstLineChars="200"/>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b/>
          <w:bCs/>
          <w:color w:val="000000" w:themeColor="text1"/>
          <w:sz w:val="21"/>
          <w:szCs w:val="21"/>
          <w:highlight w:val="none"/>
          <w:lang w:val="en-US" w:eastAsia="zh-CN"/>
          <w14:textFill>
            <w14:solidFill>
              <w14:schemeClr w14:val="tx1"/>
            </w14:solidFill>
          </w14:textFill>
        </w:rPr>
        <w:t>5.4投标保证金</w:t>
      </w:r>
      <w:r>
        <w:rPr>
          <w:rFonts w:hint="eastAsia" w:ascii="方正仿宋_GBK" w:hAnsi="方正仿宋_GBK" w:eastAsia="方正仿宋_GBK" w:cs="方正仿宋_GBK"/>
          <w:b/>
          <w:bCs/>
          <w:color w:val="000000" w:themeColor="text1"/>
          <w:sz w:val="21"/>
          <w:szCs w:val="21"/>
          <w:highlight w:val="none"/>
          <w14:textFill>
            <w14:solidFill>
              <w14:schemeClr w14:val="tx1"/>
            </w14:solidFill>
          </w14:textFill>
        </w:rPr>
        <w:t>要求</w:t>
      </w:r>
    </w:p>
    <w:p w14:paraId="2787321A">
      <w:pPr>
        <w:spacing w:beforeLines="-2147483648" w:afterLines="-2147483648" w:line="400" w:lineRule="exact"/>
        <w:ind w:firstLine="420" w:firstLineChars="200"/>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pPr>
      <w:bookmarkStart w:id="27" w:name="OLE_LINK3"/>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所有投标都必须附有投标保证金，投标保证金金额详见“招标需求一览表”。所有投标都必须以包为单位提交投标保证金，没有提交投标保证金或投标保证金不符合要求的投标将被拒绝。</w:t>
      </w:r>
    </w:p>
    <w:p w14:paraId="79180D83">
      <w:pPr>
        <w:spacing w:beforeLines="-2147483648" w:afterLines="-2147483648" w:line="400" w:lineRule="exact"/>
        <w:ind w:firstLine="420" w:firstLineChars="200"/>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（1）投标保证金金额：详见“招标需求一览表”</w:t>
      </w:r>
    </w:p>
    <w:p w14:paraId="64544960">
      <w:pPr>
        <w:spacing w:beforeLines="-2147483648" w:afterLines="-2147483648" w:line="400" w:lineRule="exact"/>
        <w:ind w:firstLine="420" w:firstLineChars="200"/>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（2）投标保证金形式：具体要求详见招标文件。投标保证金的有效期应与投标有效期一致。</w:t>
      </w:r>
    </w:p>
    <w:p w14:paraId="7FC4F9DA">
      <w:pPr>
        <w:spacing w:beforeLines="-2147483648" w:afterLines="-2147483648" w:line="400" w:lineRule="exact"/>
        <w:ind w:firstLine="420" w:firstLineChars="200"/>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投标保证金提交截止时间：2025年2月13日09：00时前。</w:t>
      </w:r>
    </w:p>
    <w:p w14:paraId="3F3409D1">
      <w:pPr>
        <w:spacing w:beforeLines="-2147483648" w:afterLines="-2147483648" w:line="400" w:lineRule="exact"/>
        <w:ind w:firstLine="420" w:firstLineChars="200"/>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账户信息：</w:t>
      </w:r>
    </w:p>
    <w:p w14:paraId="74B77168">
      <w:pPr>
        <w:spacing w:line="400" w:lineRule="exact"/>
        <w:ind w:firstLine="420" w:firstLineChars="200"/>
        <w:rPr>
          <w:rFonts w:hint="eastAsia" w:ascii="方正仿宋_GBK" w:hAnsi="方正仿宋_GBK" w:eastAsia="方正仿宋_GBK" w:cs="方正仿宋_GBK"/>
          <w:b w:val="0"/>
          <w:bCs w:val="0"/>
          <w:i w:val="0"/>
          <w:iCs w:val="0"/>
          <w:color w:val="000000" w:themeColor="text1"/>
          <w:sz w:val="21"/>
          <w:szCs w:val="21"/>
          <w:highlight w:val="none"/>
          <w:u w:val="none"/>
          <w:lang w:val="en-US" w:eastAsia="zh-CN"/>
          <w14:textFill>
            <w14:solidFill>
              <w14:schemeClr w14:val="tx1"/>
            </w14:solidFill>
          </w14:textFill>
        </w:rPr>
      </w:pPr>
      <w:r>
        <w:rPr>
          <w:rFonts w:hint="eastAsia" w:ascii="方正仿宋_GBK" w:hAnsi="方正仿宋_GBK" w:eastAsia="方正仿宋_GBK" w:cs="方正仿宋_GBK"/>
          <w:b w:val="0"/>
          <w:bCs w:val="0"/>
          <w:i w:val="0"/>
          <w:iCs w:val="0"/>
          <w:color w:val="000000" w:themeColor="text1"/>
          <w:sz w:val="21"/>
          <w:szCs w:val="21"/>
          <w:highlight w:val="none"/>
          <w:u w:val="none"/>
          <w:lang w:val="en-US" w:eastAsia="zh-CN"/>
          <w14:textFill>
            <w14:solidFill>
              <w14:schemeClr w14:val="tx1"/>
            </w14:solidFill>
          </w14:textFill>
        </w:rPr>
        <w:t>单位名称：山东三誉招标代理有限公司</w:t>
      </w:r>
    </w:p>
    <w:p w14:paraId="53C802C3">
      <w:pPr>
        <w:spacing w:line="400" w:lineRule="exact"/>
        <w:ind w:firstLine="420" w:firstLineChars="200"/>
        <w:rPr>
          <w:rFonts w:hint="eastAsia" w:ascii="方正仿宋_GBK" w:hAnsi="方正仿宋_GBK" w:eastAsia="方正仿宋_GBK" w:cs="方正仿宋_GBK"/>
          <w:b w:val="0"/>
          <w:bCs w:val="0"/>
          <w:i w:val="0"/>
          <w:iCs w:val="0"/>
          <w:color w:val="000000" w:themeColor="text1"/>
          <w:sz w:val="21"/>
          <w:szCs w:val="21"/>
          <w:highlight w:val="none"/>
          <w:u w:val="none"/>
          <w:lang w:val="en-US" w:eastAsia="zh-CN"/>
          <w14:textFill>
            <w14:solidFill>
              <w14:schemeClr w14:val="tx1"/>
            </w14:solidFill>
          </w14:textFill>
        </w:rPr>
      </w:pPr>
      <w:r>
        <w:rPr>
          <w:rFonts w:hint="eastAsia" w:ascii="方正仿宋_GBK" w:hAnsi="方正仿宋_GBK" w:eastAsia="方正仿宋_GBK" w:cs="方正仿宋_GBK"/>
          <w:b w:val="0"/>
          <w:bCs w:val="0"/>
          <w:i w:val="0"/>
          <w:iCs w:val="0"/>
          <w:color w:val="000000" w:themeColor="text1"/>
          <w:sz w:val="21"/>
          <w:szCs w:val="21"/>
          <w:highlight w:val="none"/>
          <w:u w:val="none"/>
          <w:lang w:val="en-US" w:eastAsia="zh-CN"/>
          <w14:textFill>
            <w14:solidFill>
              <w14:schemeClr w14:val="tx1"/>
            </w14:solidFill>
          </w14:textFill>
        </w:rPr>
        <w:t>开户行：中国民生银行股份有限公司济南历城支行</w:t>
      </w:r>
    </w:p>
    <w:p w14:paraId="22A64597">
      <w:pPr>
        <w:spacing w:line="400" w:lineRule="exact"/>
        <w:ind w:firstLine="420" w:firstLineChars="200"/>
        <w:rPr>
          <w:rFonts w:hint="eastAsia" w:ascii="方正仿宋_GBK" w:hAnsi="方正仿宋_GBK" w:eastAsia="方正仿宋_GBK" w:cs="方正仿宋_GBK"/>
          <w:b w:val="0"/>
          <w:bCs w:val="0"/>
          <w:i w:val="0"/>
          <w:iCs w:val="0"/>
          <w:color w:val="000000" w:themeColor="text1"/>
          <w:sz w:val="21"/>
          <w:szCs w:val="21"/>
          <w:highlight w:val="none"/>
          <w:u w:val="none"/>
          <w:lang w:val="en-US" w:eastAsia="zh-CN"/>
          <w14:textFill>
            <w14:solidFill>
              <w14:schemeClr w14:val="tx1"/>
            </w14:solidFill>
          </w14:textFill>
        </w:rPr>
      </w:pPr>
      <w:r>
        <w:rPr>
          <w:rFonts w:hint="eastAsia" w:ascii="方正仿宋_GBK" w:hAnsi="方正仿宋_GBK" w:eastAsia="方正仿宋_GBK" w:cs="方正仿宋_GBK"/>
          <w:b w:val="0"/>
          <w:bCs w:val="0"/>
          <w:i w:val="0"/>
          <w:iCs w:val="0"/>
          <w:color w:val="000000" w:themeColor="text1"/>
          <w:sz w:val="21"/>
          <w:szCs w:val="21"/>
          <w:highlight w:val="none"/>
          <w:u w:val="none"/>
          <w:lang w:val="en-US" w:eastAsia="zh-CN"/>
          <w14:textFill>
            <w14:solidFill>
              <w14:schemeClr w14:val="tx1"/>
            </w14:solidFill>
          </w14:textFill>
        </w:rPr>
        <w:t>账号：697833452</w:t>
      </w:r>
    </w:p>
    <w:p w14:paraId="0C22CCCD">
      <w:pPr>
        <w:spacing w:line="400" w:lineRule="exact"/>
        <w:ind w:firstLine="420" w:firstLineChars="200"/>
        <w:rPr>
          <w:rFonts w:hint="eastAsia" w:ascii="方正仿宋_GBK" w:hAnsi="方正仿宋_GBK" w:eastAsia="方正仿宋_GBK" w:cs="方正仿宋_GBK"/>
          <w:b w:val="0"/>
          <w:bCs w:val="0"/>
          <w:i w:val="0"/>
          <w:iCs w:val="0"/>
          <w:color w:val="000000" w:themeColor="text1"/>
          <w:sz w:val="21"/>
          <w:szCs w:val="21"/>
          <w:highlight w:val="none"/>
          <w:u w:val="none"/>
          <w:lang w:val="en-US" w:eastAsia="zh-CN"/>
          <w14:textFill>
            <w14:solidFill>
              <w14:schemeClr w14:val="tx1"/>
            </w14:solidFill>
          </w14:textFill>
        </w:rPr>
      </w:pPr>
      <w:r>
        <w:rPr>
          <w:rFonts w:hint="eastAsia" w:ascii="方正仿宋_GBK" w:hAnsi="方正仿宋_GBK" w:eastAsia="方正仿宋_GBK" w:cs="方正仿宋_GBK"/>
          <w:b w:val="0"/>
          <w:bCs w:val="0"/>
          <w:i w:val="0"/>
          <w:iCs w:val="0"/>
          <w:color w:val="000000" w:themeColor="text1"/>
          <w:sz w:val="21"/>
          <w:szCs w:val="21"/>
          <w:highlight w:val="none"/>
          <w:u w:val="none"/>
          <w:lang w:val="en-US" w:eastAsia="zh-CN"/>
          <w14:textFill>
            <w14:solidFill>
              <w14:schemeClr w14:val="tx1"/>
            </w14:solidFill>
          </w14:textFill>
        </w:rPr>
        <w:t>行号：3054 5101 6120</w:t>
      </w:r>
    </w:p>
    <w:p w14:paraId="370930DD">
      <w:pPr>
        <w:spacing w:line="400" w:lineRule="exact"/>
        <w:ind w:firstLine="420" w:firstLineChars="200"/>
        <w:rPr>
          <w:rFonts w:hint="eastAsia" w:ascii="方正仿宋_GBK" w:hAnsi="方正仿宋_GBK" w:eastAsia="方正仿宋_GBK" w:cs="方正仿宋_GBK"/>
          <w:b/>
          <w:bCs w:val="0"/>
          <w:color w:val="auto"/>
          <w:kern w:val="0"/>
          <w:sz w:val="21"/>
          <w:szCs w:val="21"/>
          <w:highlight w:val="none"/>
          <w:lang w:bidi="en-US"/>
        </w:rPr>
      </w:pPr>
      <w:r>
        <w:rPr>
          <w:rFonts w:hint="eastAsia" w:ascii="方正仿宋_GBK" w:hAnsi="方正仿宋_GBK" w:eastAsia="方正仿宋_GBK" w:cs="方正仿宋_GBK"/>
          <w:b w:val="0"/>
          <w:bCs w:val="0"/>
          <w:color w:val="000000" w:themeColor="text1"/>
          <w:sz w:val="21"/>
          <w:szCs w:val="21"/>
          <w:highlight w:val="none"/>
          <w14:textFill>
            <w14:solidFill>
              <w14:schemeClr w14:val="tx1"/>
            </w14:solidFill>
          </w14:textFill>
        </w:rPr>
        <w:t>注：</w:t>
      </w:r>
      <w:bookmarkEnd w:id="27"/>
      <w:r>
        <w:rPr>
          <w:rFonts w:hint="eastAsia" w:ascii="方正仿宋_GBK" w:hAnsi="方正仿宋_GBK" w:eastAsia="方正仿宋_GBK" w:cs="方正仿宋_GBK"/>
          <w:b w:val="0"/>
          <w:bCs w:val="0"/>
          <w:color w:val="000000" w:themeColor="text1"/>
          <w:sz w:val="21"/>
          <w:szCs w:val="21"/>
          <w:highlight w:val="none"/>
          <w14:textFill>
            <w14:solidFill>
              <w14:schemeClr w14:val="tx1"/>
            </w14:solidFill>
          </w14:textFill>
        </w:rPr>
        <w:t>汇款时应在备注栏中注明购买的分标名称或包名称简称+分标编号，确保投标标包信息正确</w:t>
      </w:r>
    </w:p>
    <w:p w14:paraId="3FB3315D">
      <w:pPr>
        <w:widowControl/>
        <w:adjustRightInd w:val="0"/>
        <w:snapToGrid w:val="0"/>
        <w:spacing w:before="317" w:beforeLines="100" w:after="158" w:afterLines="50" w:line="400" w:lineRule="exact"/>
        <w:jc w:val="left"/>
        <w:outlineLvl w:val="1"/>
        <w:rPr>
          <w:rFonts w:hint="eastAsia" w:ascii="方正仿宋_GBK" w:hAnsi="方正仿宋_GBK" w:eastAsia="方正仿宋_GBK" w:cs="方正仿宋_GBK"/>
          <w:b/>
          <w:bCs/>
          <w:color w:val="000000" w:themeColor="text1"/>
          <w:sz w:val="21"/>
          <w:szCs w:val="21"/>
          <w:highlight w:val="none"/>
          <w:lang w:val="en-US" w:eastAsia="zh-CN"/>
          <w14:textFill>
            <w14:solidFill>
              <w14:schemeClr w14:val="tx1"/>
            </w14:solidFill>
          </w14:textFill>
        </w:rPr>
      </w:pPr>
      <w:r>
        <w:rPr>
          <w:rFonts w:hint="eastAsia" w:ascii="方正仿宋_GBK" w:hAnsi="方正仿宋_GBK" w:eastAsia="方正仿宋_GBK" w:cs="方正仿宋_GBK"/>
          <w:b/>
          <w:bCs w:val="0"/>
          <w:color w:val="auto"/>
          <w:kern w:val="0"/>
          <w:sz w:val="21"/>
          <w:szCs w:val="21"/>
          <w:highlight w:val="none"/>
          <w:lang w:val="en-US" w:eastAsia="zh-CN" w:bidi="en-US"/>
        </w:rPr>
        <w:t>6</w:t>
      </w:r>
      <w:r>
        <w:rPr>
          <w:rFonts w:hint="eastAsia" w:ascii="方正仿宋_GBK" w:hAnsi="方正仿宋_GBK" w:eastAsia="方正仿宋_GBK" w:cs="方正仿宋_GBK"/>
          <w:b/>
          <w:bCs/>
          <w:color w:val="000000" w:themeColor="text1"/>
          <w:sz w:val="21"/>
          <w:szCs w:val="21"/>
          <w:highlight w:val="none"/>
          <w:lang w:val="en-US" w:eastAsia="zh-CN"/>
          <w14:textFill>
            <w14:solidFill>
              <w14:schemeClr w14:val="tx1"/>
            </w14:solidFill>
          </w14:textFill>
        </w:rPr>
        <w:t>.开标</w:t>
      </w:r>
    </w:p>
    <w:p w14:paraId="7A4C44BF">
      <w:pPr>
        <w:spacing w:line="400" w:lineRule="exact"/>
        <w:ind w:firstLine="422" w:firstLineChars="200"/>
        <w:rPr>
          <w:rFonts w:hint="eastAsia" w:ascii="方正仿宋_GBK" w:hAnsi="方正仿宋_GBK" w:eastAsia="方正仿宋_GBK" w:cs="方正仿宋_GBK"/>
          <w:b/>
          <w:bCs/>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b/>
          <w:bCs/>
          <w:color w:val="000000" w:themeColor="text1"/>
          <w:sz w:val="21"/>
          <w:szCs w:val="21"/>
          <w:highlight w:val="none"/>
          <w14:textFill>
            <w14:solidFill>
              <w14:schemeClr w14:val="tx1"/>
            </w14:solidFill>
          </w14:textFill>
        </w:rPr>
        <w:t>开标时间：</w:t>
      </w:r>
      <w:r>
        <w:rPr>
          <w:rFonts w:hint="eastAsia" w:ascii="方正仿宋_GBK" w:hAnsi="方正仿宋_GBK" w:eastAsia="方正仿宋_GBK" w:cs="方正仿宋_GBK"/>
          <w:b/>
          <w:bCs/>
          <w:color w:val="000000" w:themeColor="text1"/>
          <w:sz w:val="21"/>
          <w:szCs w:val="21"/>
          <w:highlight w:val="none"/>
          <w:lang w:eastAsia="zh-CN"/>
          <w14:textFill>
            <w14:solidFill>
              <w14:schemeClr w14:val="tx1"/>
            </w14:solidFill>
          </w14:textFill>
        </w:rPr>
        <w:t>2025年</w:t>
      </w:r>
      <w:r>
        <w:rPr>
          <w:rFonts w:hint="eastAsia" w:ascii="方正仿宋_GBK" w:hAnsi="方正仿宋_GBK" w:eastAsia="方正仿宋_GBK" w:cs="方正仿宋_GBK"/>
          <w:b/>
          <w:bCs/>
          <w:color w:val="000000" w:themeColor="text1"/>
          <w:sz w:val="21"/>
          <w:szCs w:val="21"/>
          <w:highlight w:val="none"/>
          <w:lang w:val="en-US" w:eastAsia="zh-CN"/>
          <w14:textFill>
            <w14:solidFill>
              <w14:schemeClr w14:val="tx1"/>
            </w14:solidFill>
          </w14:textFill>
        </w:rPr>
        <w:t>2</w:t>
      </w:r>
      <w:r>
        <w:rPr>
          <w:rFonts w:hint="eastAsia" w:ascii="方正仿宋_GBK" w:hAnsi="方正仿宋_GBK" w:eastAsia="方正仿宋_GBK" w:cs="方正仿宋_GBK"/>
          <w:b/>
          <w:bCs/>
          <w:color w:val="000000" w:themeColor="text1"/>
          <w:sz w:val="21"/>
          <w:szCs w:val="21"/>
          <w:highlight w:val="none"/>
          <w14:textFill>
            <w14:solidFill>
              <w14:schemeClr w14:val="tx1"/>
            </w14:solidFill>
          </w14:textFill>
        </w:rPr>
        <w:t>月</w:t>
      </w:r>
      <w:r>
        <w:rPr>
          <w:rFonts w:hint="eastAsia" w:ascii="方正仿宋_GBK" w:hAnsi="方正仿宋_GBK" w:eastAsia="方正仿宋_GBK" w:cs="方正仿宋_GBK"/>
          <w:b/>
          <w:bCs/>
          <w:color w:val="000000" w:themeColor="text1"/>
          <w:sz w:val="21"/>
          <w:szCs w:val="21"/>
          <w:highlight w:val="none"/>
          <w:lang w:val="en-US" w:eastAsia="zh-CN"/>
          <w14:textFill>
            <w14:solidFill>
              <w14:schemeClr w14:val="tx1"/>
            </w14:solidFill>
          </w14:textFill>
        </w:rPr>
        <w:t>13</w:t>
      </w:r>
      <w:r>
        <w:rPr>
          <w:rFonts w:hint="eastAsia" w:ascii="方正仿宋_GBK" w:hAnsi="方正仿宋_GBK" w:eastAsia="方正仿宋_GBK" w:cs="方正仿宋_GBK"/>
          <w:b/>
          <w:bCs/>
          <w:color w:val="000000" w:themeColor="text1"/>
          <w:sz w:val="21"/>
          <w:szCs w:val="21"/>
          <w:highlight w:val="none"/>
          <w14:textFill>
            <w14:solidFill>
              <w14:schemeClr w14:val="tx1"/>
            </w14:solidFill>
          </w14:textFill>
        </w:rPr>
        <w:t>日09:00时；</w:t>
      </w:r>
    </w:p>
    <w:p w14:paraId="03624DCC">
      <w:pPr>
        <w:spacing w:line="400" w:lineRule="exact"/>
        <w:ind w:firstLine="422" w:firstLineChars="200"/>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b/>
          <w:bCs/>
          <w:color w:val="000000" w:themeColor="text1"/>
          <w:sz w:val="21"/>
          <w:szCs w:val="21"/>
          <w:highlight w:val="none"/>
          <w14:textFill>
            <w14:solidFill>
              <w14:schemeClr w14:val="tx1"/>
            </w14:solidFill>
          </w14:textFill>
        </w:rPr>
        <w:t>开标地点：</w:t>
      </w:r>
      <w:r>
        <w:rPr>
          <w:rFonts w:hint="eastAsia" w:ascii="方正仿宋_GBK" w:hAnsi="方正仿宋_GBK" w:eastAsia="方正仿宋_GBK" w:cs="方正仿宋_GBK"/>
          <w:b/>
          <w:bCs/>
          <w:color w:val="000000" w:themeColor="text1"/>
          <w:sz w:val="21"/>
          <w:szCs w:val="21"/>
          <w:highlight w:val="none"/>
          <w:lang w:eastAsia="zh-CN"/>
          <w14:textFill>
            <w14:solidFill>
              <w14:schemeClr w14:val="tx1"/>
            </w14:solidFill>
          </w14:textFill>
        </w:rPr>
        <w:t>济南市天桥区少年路12号彩虹大酒店</w:t>
      </w:r>
      <w:r>
        <w:rPr>
          <w:rFonts w:hint="eastAsia" w:ascii="方正仿宋_GBK" w:hAnsi="方正仿宋_GBK" w:eastAsia="方正仿宋_GBK" w:cs="方正仿宋_GBK"/>
          <w:b/>
          <w:bCs/>
          <w:color w:val="000000" w:themeColor="text1"/>
          <w:sz w:val="21"/>
          <w:szCs w:val="21"/>
          <w:highlight w:val="none"/>
          <w14:textFill>
            <w14:solidFill>
              <w14:schemeClr w14:val="tx1"/>
            </w14:solidFill>
          </w14:textFill>
        </w:rPr>
        <w:t>。</w:t>
      </w:r>
    </w:p>
    <w:p w14:paraId="00B8542E">
      <w:pPr>
        <w:spacing w:line="400" w:lineRule="exact"/>
        <w:ind w:firstLine="420" w:firstLineChars="200"/>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（1）开标等候地点:本次开标不设等候地点。</w:t>
      </w:r>
    </w:p>
    <w:p w14:paraId="6F0801FA">
      <w:pPr>
        <w:spacing w:line="400" w:lineRule="exact"/>
        <w:ind w:firstLine="420" w:firstLineChars="200"/>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（2）开评标期间请各投标人保持电话畅通，及时关注手机短信、邮箱动态，以便及时沟通相关问题。</w:t>
      </w:r>
    </w:p>
    <w:p w14:paraId="398F2768">
      <w:pPr>
        <w:spacing w:line="400" w:lineRule="exact"/>
        <w:ind w:firstLine="420" w:firstLineChars="200"/>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3）网络视频方式：应用“腾讯会议”软件（投标人可通过百度等搜索工具下载）。投标人务必在谈判前下载、安装“腾讯会议”软件，并提前熟悉掌握使用方法。因投标人自身原因造成的无法开展澄清、答疑、否决工作的，由此产生的风险由投标人承担。</w:t>
      </w:r>
    </w:p>
    <w:p w14:paraId="41B68D16">
      <w:pPr>
        <w:spacing w:line="400" w:lineRule="exact"/>
        <w:ind w:firstLine="420" w:firstLineChars="200"/>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（4）“腾讯会议”会议号：</w:t>
      </w:r>
      <w:r>
        <w:rPr>
          <w:rFonts w:hint="eastAsia" w:ascii="方正仿宋_GBK" w:hAnsi="方正仿宋_GBK" w:eastAsia="方正仿宋_GBK" w:cs="方正仿宋_GBK"/>
          <w:color w:val="auto"/>
          <w:sz w:val="21"/>
          <w:szCs w:val="21"/>
          <w:highlight w:val="none"/>
          <w:lang w:val="en-US" w:eastAsia="zh-CN"/>
        </w:rPr>
        <w:t>954 979 215</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w:t>
      </w:r>
    </w:p>
    <w:p w14:paraId="510FF044">
      <w:pPr>
        <w:spacing w:line="400" w:lineRule="exact"/>
        <w:ind w:firstLine="0" w:firstLineChars="0"/>
        <w:rPr>
          <w:rFonts w:hint="eastAsia" w:ascii="方正仿宋_GBK" w:hAnsi="方正仿宋_GBK" w:eastAsia="方正仿宋_GBK" w:cs="方正仿宋_GBK"/>
          <w:b/>
          <w:bCs/>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b/>
          <w:bCs/>
          <w:color w:val="000000" w:themeColor="text1"/>
          <w:sz w:val="21"/>
          <w:szCs w:val="21"/>
          <w:highlight w:val="none"/>
          <w14:textFill>
            <w14:solidFill>
              <w14:schemeClr w14:val="tx1"/>
            </w14:solidFill>
          </w14:textFill>
        </w:rPr>
        <w:t>请投标人在开标前10分钟内进入腾讯会议，因投标人自身原因造成的无法参与腾讯会议的，由此产生的风险由投标人承担。</w:t>
      </w:r>
    </w:p>
    <w:p w14:paraId="2A1B0898">
      <w:pPr>
        <w:adjustRightInd w:val="0"/>
        <w:snapToGrid w:val="0"/>
        <w:spacing w:beforeLines="100" w:afterLines="50" w:line="400" w:lineRule="exact"/>
        <w:outlineLvl w:val="1"/>
        <w:rPr>
          <w:rFonts w:hint="eastAsia" w:ascii="方正仿宋_GBK" w:hAnsi="方正仿宋_GBK" w:eastAsia="方正仿宋_GBK" w:cs="方正仿宋_GBK"/>
          <w:b/>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b/>
          <w:color w:val="000000" w:themeColor="text1"/>
          <w:sz w:val="21"/>
          <w:szCs w:val="21"/>
          <w:highlight w:val="none"/>
          <w:lang w:val="en-US" w:eastAsia="zh-CN"/>
          <w14:textFill>
            <w14:solidFill>
              <w14:schemeClr w14:val="tx1"/>
            </w14:solidFill>
          </w14:textFill>
        </w:rPr>
        <w:t>7</w:t>
      </w:r>
      <w:r>
        <w:rPr>
          <w:rFonts w:hint="eastAsia" w:ascii="方正仿宋_GBK" w:hAnsi="方正仿宋_GBK" w:eastAsia="方正仿宋_GBK" w:cs="方正仿宋_GBK"/>
          <w:b/>
          <w:color w:val="000000" w:themeColor="text1"/>
          <w:sz w:val="21"/>
          <w:szCs w:val="21"/>
          <w:highlight w:val="none"/>
          <w14:textFill>
            <w14:solidFill>
              <w14:schemeClr w14:val="tx1"/>
            </w14:solidFill>
          </w14:textFill>
        </w:rPr>
        <w:t>.发布公告的媒介</w:t>
      </w:r>
    </w:p>
    <w:p w14:paraId="548B604C">
      <w:pPr>
        <w:spacing w:line="400" w:lineRule="exact"/>
        <w:ind w:firstLine="420" w:firstLineChars="200"/>
        <w:rPr>
          <w:rFonts w:hint="eastAsia" w:ascii="方正仿宋_GBK" w:hAnsi="方正仿宋_GBK" w:eastAsia="方正仿宋_GBK" w:cs="方正仿宋_GBK"/>
          <w:b w:val="0"/>
          <w:bCs w:val="0"/>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b w:val="0"/>
          <w:bCs w:val="0"/>
          <w:color w:val="000000" w:themeColor="text1"/>
          <w:sz w:val="21"/>
          <w:szCs w:val="21"/>
          <w:highlight w:val="none"/>
          <w14:textFill>
            <w14:solidFill>
              <w14:schemeClr w14:val="tx1"/>
            </w14:solidFill>
          </w14:textFill>
        </w:rPr>
        <w:t>本次招标公告在以下平台发布：</w:t>
      </w:r>
    </w:p>
    <w:p w14:paraId="5C782672">
      <w:pPr>
        <w:spacing w:line="400" w:lineRule="exact"/>
        <w:ind w:firstLine="420" w:firstLineChars="200"/>
        <w:rPr>
          <w:rFonts w:hint="eastAsia" w:ascii="方正仿宋_GBK" w:hAnsi="方正仿宋_GBK" w:eastAsia="方正仿宋_GBK" w:cs="方正仿宋_GBK"/>
          <w:b w:val="0"/>
          <w:bCs w:val="0"/>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b w:val="0"/>
          <w:bCs w:val="0"/>
          <w:color w:val="000000" w:themeColor="text1"/>
          <w:sz w:val="21"/>
          <w:szCs w:val="21"/>
          <w:highlight w:val="none"/>
          <w14:textFill>
            <w14:solidFill>
              <w14:schemeClr w14:val="tx1"/>
            </w14:solidFill>
          </w14:textFill>
        </w:rPr>
        <w:t>国家电网有限公司电子商务平台-电工交易专区（https://sgccetp.com.cn/portal/）</w:t>
      </w:r>
    </w:p>
    <w:p w14:paraId="638310AF">
      <w:pPr>
        <w:spacing w:line="400" w:lineRule="exact"/>
        <w:ind w:firstLine="420" w:firstLineChars="200"/>
        <w:rPr>
          <w:rFonts w:hint="eastAsia" w:ascii="方正仿宋_GBK" w:hAnsi="方正仿宋_GBK" w:eastAsia="方正仿宋_GBK" w:cs="方正仿宋_GBK"/>
          <w:b w:val="0"/>
          <w:bCs w:val="0"/>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b w:val="0"/>
          <w:bCs w:val="0"/>
          <w:color w:val="000000" w:themeColor="text1"/>
          <w:sz w:val="21"/>
          <w:szCs w:val="21"/>
          <w:highlight w:val="none"/>
          <w14:textFill>
            <w14:solidFill>
              <w14:schemeClr w14:val="tx1"/>
            </w14:solidFill>
          </w14:textFill>
        </w:rPr>
        <w:t>中国招标投标公共服务平台（http://www.cebpubservice.com）</w:t>
      </w:r>
    </w:p>
    <w:p w14:paraId="4686B8F1">
      <w:pPr>
        <w:spacing w:line="400" w:lineRule="exact"/>
        <w:ind w:firstLine="420" w:firstLineChars="200"/>
        <w:rPr>
          <w:rFonts w:hint="eastAsia" w:ascii="方正仿宋_GBK" w:hAnsi="方正仿宋_GBK" w:eastAsia="方正仿宋_GBK" w:cs="方正仿宋_GBK"/>
          <w:b w:val="0"/>
          <w:bCs w:val="0"/>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b w:val="0"/>
          <w:bCs w:val="0"/>
          <w:color w:val="000000" w:themeColor="text1"/>
          <w:sz w:val="21"/>
          <w:szCs w:val="21"/>
          <w:highlight w:val="none"/>
          <w14:textFill>
            <w14:solidFill>
              <w14:schemeClr w14:val="tx1"/>
            </w14:solidFill>
          </w14:textFill>
        </w:rPr>
        <w:t>山东三誉招标代理有限公司平台（http://www.syzbgs.com/）</w:t>
      </w:r>
    </w:p>
    <w:p w14:paraId="4EC04197">
      <w:pPr>
        <w:adjustRightInd w:val="0"/>
        <w:snapToGrid w:val="0"/>
        <w:spacing w:beforeLines="100" w:afterLines="50" w:line="400" w:lineRule="exact"/>
        <w:outlineLvl w:val="1"/>
        <w:rPr>
          <w:rFonts w:hint="eastAsia" w:ascii="方正仿宋_GBK" w:hAnsi="方正仿宋_GBK" w:eastAsia="方正仿宋_GBK" w:cs="方正仿宋_GBK"/>
          <w:b/>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b/>
          <w:color w:val="000000" w:themeColor="text1"/>
          <w:sz w:val="21"/>
          <w:szCs w:val="21"/>
          <w:highlight w:val="none"/>
          <w:lang w:val="en-US" w:eastAsia="zh-CN"/>
          <w14:textFill>
            <w14:solidFill>
              <w14:schemeClr w14:val="tx1"/>
            </w14:solidFill>
          </w14:textFill>
        </w:rPr>
        <w:t>8</w:t>
      </w:r>
      <w:r>
        <w:rPr>
          <w:rFonts w:hint="eastAsia" w:ascii="方正仿宋_GBK" w:hAnsi="方正仿宋_GBK" w:eastAsia="方正仿宋_GBK" w:cs="方正仿宋_GBK"/>
          <w:b/>
          <w:color w:val="000000" w:themeColor="text1"/>
          <w:sz w:val="21"/>
          <w:szCs w:val="21"/>
          <w:highlight w:val="none"/>
          <w14:textFill>
            <w14:solidFill>
              <w14:schemeClr w14:val="tx1"/>
            </w14:solidFill>
          </w14:textFill>
        </w:rPr>
        <w:t>.联系方式</w:t>
      </w:r>
    </w:p>
    <w:p w14:paraId="0A76FC54">
      <w:pPr>
        <w:spacing w:line="400" w:lineRule="exact"/>
        <w:ind w:firstLine="420" w:firstLineChars="200"/>
        <w:rPr>
          <w:rFonts w:hint="eastAsia" w:ascii="方正仿宋_GBK" w:hAnsi="方正仿宋_GBK" w:eastAsia="方正仿宋_GBK" w:cs="方正仿宋_GBK"/>
          <w:b w:val="0"/>
          <w:bCs w:val="0"/>
          <w:color w:val="000000" w:themeColor="text1"/>
          <w:sz w:val="21"/>
          <w:szCs w:val="21"/>
          <w:highlight w:val="none"/>
          <w:lang w:val="en-US" w:eastAsia="zh-CN"/>
          <w14:textFill>
            <w14:solidFill>
              <w14:schemeClr w14:val="tx1"/>
            </w14:solidFill>
          </w14:textFill>
        </w:rPr>
      </w:pPr>
      <w:r>
        <w:rPr>
          <w:rFonts w:hint="eastAsia" w:ascii="方正仿宋_GBK" w:hAnsi="方正仿宋_GBK" w:eastAsia="方正仿宋_GBK" w:cs="方正仿宋_GBK"/>
          <w:b w:val="0"/>
          <w:bCs w:val="0"/>
          <w:color w:val="000000" w:themeColor="text1"/>
          <w:sz w:val="21"/>
          <w:szCs w:val="21"/>
          <w:highlight w:val="none"/>
          <w:lang w:val="en-US" w:eastAsia="zh-CN"/>
          <w14:textFill>
            <w14:solidFill>
              <w14:schemeClr w14:val="tx1"/>
            </w14:solidFill>
          </w14:textFill>
        </w:rPr>
        <w:t>招标人:山东中实易通集团有限公司</w:t>
      </w:r>
    </w:p>
    <w:p w14:paraId="77D71B23">
      <w:pPr>
        <w:spacing w:line="400" w:lineRule="exact"/>
        <w:ind w:firstLine="420" w:firstLineChars="200"/>
        <w:rPr>
          <w:rFonts w:hint="eastAsia" w:ascii="方正仿宋_GBK" w:hAnsi="方正仿宋_GBK" w:eastAsia="方正仿宋_GBK" w:cs="方正仿宋_GBK"/>
          <w:b w:val="0"/>
          <w:bCs w:val="0"/>
          <w:color w:val="000000" w:themeColor="text1"/>
          <w:sz w:val="21"/>
          <w:szCs w:val="21"/>
          <w:highlight w:val="none"/>
          <w:lang w:val="en-US" w:eastAsia="zh-CN"/>
          <w14:textFill>
            <w14:solidFill>
              <w14:schemeClr w14:val="tx1"/>
            </w14:solidFill>
          </w14:textFill>
        </w:rPr>
      </w:pPr>
      <w:r>
        <w:rPr>
          <w:rFonts w:hint="eastAsia" w:ascii="方正仿宋_GBK" w:hAnsi="方正仿宋_GBK" w:eastAsia="方正仿宋_GBK" w:cs="方正仿宋_GBK"/>
          <w:b w:val="0"/>
          <w:bCs w:val="0"/>
          <w:color w:val="000000" w:themeColor="text1"/>
          <w:sz w:val="21"/>
          <w:szCs w:val="21"/>
          <w:highlight w:val="none"/>
          <w:lang w:val="en-US" w:eastAsia="zh-CN"/>
          <w14:textFill>
            <w14:solidFill>
              <w14:schemeClr w14:val="tx1"/>
            </w14:solidFill>
          </w14:textFill>
        </w:rPr>
        <w:t>地址:山东省济南市市中区望岳路2010号</w:t>
      </w:r>
    </w:p>
    <w:p w14:paraId="3DC46628">
      <w:pPr>
        <w:spacing w:line="400" w:lineRule="exact"/>
        <w:ind w:firstLine="420" w:firstLineChars="200"/>
        <w:rPr>
          <w:rFonts w:hint="eastAsia" w:ascii="方正仿宋_GBK" w:hAnsi="方正仿宋_GBK" w:eastAsia="方正仿宋_GBK" w:cs="方正仿宋_GBK"/>
          <w:b w:val="0"/>
          <w:bCs w:val="0"/>
          <w:color w:val="000000" w:themeColor="text1"/>
          <w:sz w:val="21"/>
          <w:szCs w:val="21"/>
          <w:highlight w:val="none"/>
          <w:lang w:val="en-US" w:eastAsia="zh-CN"/>
          <w14:textFill>
            <w14:solidFill>
              <w14:schemeClr w14:val="tx1"/>
            </w14:solidFill>
          </w14:textFill>
        </w:rPr>
      </w:pPr>
      <w:r>
        <w:rPr>
          <w:rFonts w:hint="eastAsia" w:ascii="方正仿宋_GBK" w:hAnsi="方正仿宋_GBK" w:eastAsia="方正仿宋_GBK" w:cs="方正仿宋_GBK"/>
          <w:b w:val="0"/>
          <w:bCs w:val="0"/>
          <w:color w:val="000000" w:themeColor="text1"/>
          <w:sz w:val="21"/>
          <w:szCs w:val="21"/>
          <w:highlight w:val="none"/>
          <w:lang w:val="en-US" w:eastAsia="zh-CN"/>
          <w14:textFill>
            <w14:solidFill>
              <w14:schemeClr w14:val="tx1"/>
            </w14:solidFill>
          </w14:textFill>
        </w:rPr>
        <w:t>联系人：周工</w:t>
      </w:r>
    </w:p>
    <w:p w14:paraId="672ABB72">
      <w:pPr>
        <w:spacing w:line="400" w:lineRule="exact"/>
        <w:ind w:firstLine="420" w:firstLineChars="200"/>
        <w:rPr>
          <w:rFonts w:hint="eastAsia" w:ascii="方正仿宋_GBK" w:hAnsi="方正仿宋_GBK" w:eastAsia="方正仿宋_GBK" w:cs="方正仿宋_GBK"/>
          <w:b w:val="0"/>
          <w:bCs w:val="0"/>
          <w:color w:val="000000" w:themeColor="text1"/>
          <w:sz w:val="21"/>
          <w:szCs w:val="21"/>
          <w:highlight w:val="none"/>
          <w:lang w:val="en-US" w:eastAsia="zh-CN"/>
          <w14:textFill>
            <w14:solidFill>
              <w14:schemeClr w14:val="tx1"/>
            </w14:solidFill>
          </w14:textFill>
        </w:rPr>
      </w:pPr>
      <w:r>
        <w:rPr>
          <w:rFonts w:hint="eastAsia" w:ascii="方正仿宋_GBK" w:hAnsi="方正仿宋_GBK" w:eastAsia="方正仿宋_GBK" w:cs="方正仿宋_GBK"/>
          <w:b w:val="0"/>
          <w:bCs w:val="0"/>
          <w:color w:val="000000" w:themeColor="text1"/>
          <w:sz w:val="21"/>
          <w:szCs w:val="21"/>
          <w:highlight w:val="none"/>
          <w:lang w:val="en-US" w:eastAsia="zh-CN"/>
          <w14:textFill>
            <w14:solidFill>
              <w14:schemeClr w14:val="tx1"/>
            </w14:solidFill>
          </w14:textFill>
        </w:rPr>
        <w:t>邮编：250000</w:t>
      </w:r>
    </w:p>
    <w:p w14:paraId="63D1A92B">
      <w:pPr>
        <w:spacing w:line="400" w:lineRule="exact"/>
        <w:ind w:firstLine="420" w:firstLineChars="200"/>
        <w:rPr>
          <w:rFonts w:hint="eastAsia" w:ascii="方正仿宋_GBK" w:hAnsi="方正仿宋_GBK" w:eastAsia="方正仿宋_GBK" w:cs="方正仿宋_GBK"/>
          <w:b w:val="0"/>
          <w:bCs w:val="0"/>
          <w:color w:val="000000" w:themeColor="text1"/>
          <w:sz w:val="21"/>
          <w:szCs w:val="21"/>
          <w:highlight w:val="none"/>
          <w:lang w:val="en-US" w:eastAsia="zh-CN"/>
          <w14:textFill>
            <w14:solidFill>
              <w14:schemeClr w14:val="tx1"/>
            </w14:solidFill>
          </w14:textFill>
        </w:rPr>
      </w:pPr>
      <w:r>
        <w:rPr>
          <w:rFonts w:hint="eastAsia" w:ascii="方正仿宋_GBK" w:hAnsi="方正仿宋_GBK" w:eastAsia="方正仿宋_GBK" w:cs="方正仿宋_GBK"/>
          <w:b w:val="0"/>
          <w:bCs w:val="0"/>
          <w:color w:val="000000" w:themeColor="text1"/>
          <w:sz w:val="21"/>
          <w:szCs w:val="21"/>
          <w:highlight w:val="none"/>
          <w:lang w:val="en-US" w:eastAsia="zh-CN"/>
          <w14:textFill>
            <w14:solidFill>
              <w14:schemeClr w14:val="tx1"/>
            </w14:solidFill>
          </w14:textFill>
        </w:rPr>
        <w:t>招标代理机构：山东三誉招标代理有限公司</w:t>
      </w:r>
    </w:p>
    <w:p w14:paraId="4546C9B1">
      <w:pPr>
        <w:spacing w:line="400" w:lineRule="exact"/>
        <w:ind w:firstLine="420" w:firstLineChars="200"/>
        <w:rPr>
          <w:rFonts w:hint="eastAsia" w:ascii="方正仿宋_GBK" w:hAnsi="方正仿宋_GBK" w:eastAsia="方正仿宋_GBK" w:cs="方正仿宋_GBK"/>
          <w:b w:val="0"/>
          <w:bCs w:val="0"/>
          <w:color w:val="000000" w:themeColor="text1"/>
          <w:sz w:val="21"/>
          <w:szCs w:val="21"/>
          <w:highlight w:val="none"/>
          <w:lang w:val="en-US" w:eastAsia="zh-CN"/>
          <w14:textFill>
            <w14:solidFill>
              <w14:schemeClr w14:val="tx1"/>
            </w14:solidFill>
          </w14:textFill>
        </w:rPr>
      </w:pPr>
      <w:r>
        <w:rPr>
          <w:rFonts w:hint="eastAsia" w:ascii="方正仿宋_GBK" w:hAnsi="方正仿宋_GBK" w:eastAsia="方正仿宋_GBK" w:cs="方正仿宋_GBK"/>
          <w:b w:val="0"/>
          <w:bCs w:val="0"/>
          <w:color w:val="000000" w:themeColor="text1"/>
          <w:sz w:val="21"/>
          <w:szCs w:val="21"/>
          <w:highlight w:val="none"/>
          <w:lang w:val="en-US" w:eastAsia="zh-CN"/>
          <w14:textFill>
            <w14:solidFill>
              <w14:schemeClr w14:val="tx1"/>
            </w14:solidFill>
          </w14:textFill>
        </w:rPr>
        <w:t>地址：济南市市中区二环南路3377号绿地新都会A1-3号写字楼11层1102室</w:t>
      </w:r>
    </w:p>
    <w:p w14:paraId="0635DD1E">
      <w:pPr>
        <w:spacing w:line="400" w:lineRule="exact"/>
        <w:ind w:firstLine="420" w:firstLineChars="200"/>
        <w:rPr>
          <w:rFonts w:hint="eastAsia" w:ascii="方正仿宋_GBK" w:hAnsi="方正仿宋_GBK" w:eastAsia="方正仿宋_GBK" w:cs="方正仿宋_GBK"/>
          <w:b w:val="0"/>
          <w:bCs w:val="0"/>
          <w:color w:val="000000" w:themeColor="text1"/>
          <w:sz w:val="21"/>
          <w:szCs w:val="21"/>
          <w:highlight w:val="none"/>
          <w:lang w:val="en-US" w:eastAsia="zh-CN"/>
          <w14:textFill>
            <w14:solidFill>
              <w14:schemeClr w14:val="tx1"/>
            </w14:solidFill>
          </w14:textFill>
        </w:rPr>
      </w:pPr>
      <w:r>
        <w:rPr>
          <w:rFonts w:hint="eastAsia" w:ascii="方正仿宋_GBK" w:hAnsi="方正仿宋_GBK" w:eastAsia="方正仿宋_GBK" w:cs="方正仿宋_GBK"/>
          <w:b w:val="0"/>
          <w:bCs w:val="0"/>
          <w:color w:val="000000" w:themeColor="text1"/>
          <w:sz w:val="21"/>
          <w:szCs w:val="21"/>
          <w:highlight w:val="none"/>
          <w:lang w:val="en-US" w:eastAsia="zh-CN"/>
          <w14:textFill>
            <w14:solidFill>
              <w14:schemeClr w14:val="tx1"/>
            </w14:solidFill>
          </w14:textFill>
        </w:rPr>
        <w:t>邮编：250000</w:t>
      </w:r>
    </w:p>
    <w:p w14:paraId="1FD33F3E">
      <w:pPr>
        <w:spacing w:line="400" w:lineRule="exact"/>
        <w:ind w:firstLine="420" w:firstLineChars="200"/>
        <w:rPr>
          <w:rFonts w:hint="eastAsia" w:ascii="方正仿宋_GBK" w:hAnsi="方正仿宋_GBK" w:eastAsia="方正仿宋_GBK" w:cs="方正仿宋_GBK"/>
          <w:b w:val="0"/>
          <w:bCs w:val="0"/>
          <w:color w:val="000000" w:themeColor="text1"/>
          <w:sz w:val="21"/>
          <w:szCs w:val="21"/>
          <w:highlight w:val="none"/>
          <w:lang w:val="en-US" w:eastAsia="zh-CN"/>
          <w14:textFill>
            <w14:solidFill>
              <w14:schemeClr w14:val="tx1"/>
            </w14:solidFill>
          </w14:textFill>
        </w:rPr>
      </w:pPr>
      <w:r>
        <w:rPr>
          <w:rFonts w:hint="eastAsia" w:ascii="方正仿宋_GBK" w:hAnsi="方正仿宋_GBK" w:eastAsia="方正仿宋_GBK" w:cs="方正仿宋_GBK"/>
          <w:b w:val="0"/>
          <w:bCs w:val="0"/>
          <w:color w:val="000000" w:themeColor="text1"/>
          <w:sz w:val="21"/>
          <w:szCs w:val="21"/>
          <w:highlight w:val="none"/>
          <w:lang w:val="en-US" w:eastAsia="zh-CN"/>
          <w14:textFill>
            <w14:solidFill>
              <w14:schemeClr w14:val="tx1"/>
            </w14:solidFill>
          </w14:textFill>
        </w:rPr>
        <w:t>联系人：张月秀、时玲方、张冉</w:t>
      </w:r>
    </w:p>
    <w:p w14:paraId="4148ACAC">
      <w:pPr>
        <w:spacing w:line="400" w:lineRule="exact"/>
        <w:ind w:firstLine="420" w:firstLineChars="200"/>
        <w:rPr>
          <w:rFonts w:hint="eastAsia" w:ascii="方正仿宋_GBK" w:hAnsi="方正仿宋_GBK" w:eastAsia="方正仿宋_GBK" w:cs="方正仿宋_GBK"/>
          <w:b w:val="0"/>
          <w:bCs w:val="0"/>
          <w:color w:val="000000" w:themeColor="text1"/>
          <w:sz w:val="21"/>
          <w:szCs w:val="21"/>
          <w:highlight w:val="none"/>
          <w:lang w:val="en-US" w:eastAsia="zh-CN"/>
          <w14:textFill>
            <w14:solidFill>
              <w14:schemeClr w14:val="tx1"/>
            </w14:solidFill>
          </w14:textFill>
        </w:rPr>
      </w:pPr>
      <w:r>
        <w:rPr>
          <w:rFonts w:hint="eastAsia" w:ascii="方正仿宋_GBK" w:hAnsi="方正仿宋_GBK" w:eastAsia="方正仿宋_GBK" w:cs="方正仿宋_GBK"/>
          <w:b w:val="0"/>
          <w:bCs w:val="0"/>
          <w:color w:val="000000" w:themeColor="text1"/>
          <w:sz w:val="21"/>
          <w:szCs w:val="21"/>
          <w:highlight w:val="none"/>
          <w:lang w:val="en-US" w:eastAsia="zh-CN"/>
          <w14:textFill>
            <w14:solidFill>
              <w14:schemeClr w14:val="tx1"/>
            </w14:solidFill>
          </w14:textFill>
        </w:rPr>
        <w:t>联系人电话：0531-58185102/15562423673</w:t>
      </w:r>
    </w:p>
    <w:p w14:paraId="6AD9B13F">
      <w:pPr>
        <w:spacing w:line="400" w:lineRule="exact"/>
        <w:ind w:firstLine="420" w:firstLineChars="200"/>
        <w:rPr>
          <w:rFonts w:hint="eastAsia" w:ascii="方正仿宋_GBK" w:hAnsi="方正仿宋_GBK" w:eastAsia="方正仿宋_GBK" w:cs="方正仿宋_GBK"/>
          <w:b w:val="0"/>
          <w:bCs w:val="0"/>
          <w:color w:val="000000" w:themeColor="text1"/>
          <w:sz w:val="21"/>
          <w:szCs w:val="21"/>
          <w:highlight w:val="none"/>
          <w:lang w:val="en-US" w:eastAsia="zh-CN"/>
          <w14:textFill>
            <w14:solidFill>
              <w14:schemeClr w14:val="tx1"/>
            </w14:solidFill>
          </w14:textFill>
        </w:rPr>
      </w:pPr>
      <w:r>
        <w:rPr>
          <w:rFonts w:hint="eastAsia" w:ascii="方正仿宋_GBK" w:hAnsi="方正仿宋_GBK" w:eastAsia="方正仿宋_GBK" w:cs="方正仿宋_GBK"/>
          <w:b w:val="0"/>
          <w:bCs w:val="0"/>
          <w:color w:val="000000" w:themeColor="text1"/>
          <w:sz w:val="21"/>
          <w:szCs w:val="21"/>
          <w:highlight w:val="none"/>
          <w:lang w:val="en-US" w:eastAsia="zh-CN"/>
          <w14:textFill>
            <w14:solidFill>
              <w14:schemeClr w14:val="tx1"/>
            </w14:solidFill>
          </w14:textFill>
        </w:rPr>
        <w:t>电子邮件：syzbgs@vip.163.com</w:t>
      </w:r>
    </w:p>
    <w:p w14:paraId="0C254BCA">
      <w:pPr>
        <w:spacing w:line="400" w:lineRule="exact"/>
        <w:ind w:firstLine="420" w:firstLineChars="200"/>
        <w:rPr>
          <w:rFonts w:hint="eastAsia" w:ascii="方正仿宋_GBK" w:hAnsi="方正仿宋_GBK" w:eastAsia="方正仿宋_GBK" w:cs="方正仿宋_GBK"/>
          <w:b w:val="0"/>
          <w:bCs w:val="0"/>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b w:val="0"/>
          <w:bCs w:val="0"/>
          <w:color w:val="000000" w:themeColor="text1"/>
          <w:sz w:val="21"/>
          <w:szCs w:val="21"/>
          <w:highlight w:val="none"/>
          <w:lang w:val="en-US" w:eastAsia="zh-CN"/>
          <w14:textFill>
            <w14:solidFill>
              <w14:schemeClr w14:val="tx1"/>
            </w14:solidFill>
          </w14:textFill>
        </w:rPr>
        <w:t>招标人招投标交易平台信息系统（国家电网有限公司电子商务平台-电工交易专区https://sgccetp.com.cn/portal/）</w:t>
      </w:r>
    </w:p>
    <w:p w14:paraId="33453430">
      <w:pPr>
        <w:adjustRightInd w:val="0"/>
        <w:snapToGrid w:val="0"/>
        <w:spacing w:beforeLines="100" w:afterLines="50" w:line="400" w:lineRule="exact"/>
        <w:outlineLvl w:val="1"/>
        <w:rPr>
          <w:rFonts w:hint="eastAsia" w:ascii="方正仿宋_GBK" w:hAnsi="方正仿宋_GBK" w:eastAsia="方正仿宋_GBK" w:cs="方正仿宋_GBK"/>
          <w:b/>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b/>
          <w:color w:val="000000" w:themeColor="text1"/>
          <w:sz w:val="21"/>
          <w:szCs w:val="21"/>
          <w:highlight w:val="none"/>
          <w:lang w:val="en-US" w:eastAsia="zh-CN"/>
          <w14:textFill>
            <w14:solidFill>
              <w14:schemeClr w14:val="tx1"/>
            </w14:solidFill>
          </w14:textFill>
        </w:rPr>
        <w:t>9</w:t>
      </w:r>
      <w:r>
        <w:rPr>
          <w:rFonts w:hint="eastAsia" w:ascii="方正仿宋_GBK" w:hAnsi="方正仿宋_GBK" w:eastAsia="方正仿宋_GBK" w:cs="方正仿宋_GBK"/>
          <w:b/>
          <w:color w:val="000000" w:themeColor="text1"/>
          <w:sz w:val="21"/>
          <w:szCs w:val="21"/>
          <w:highlight w:val="none"/>
          <w14:textFill>
            <w14:solidFill>
              <w14:schemeClr w14:val="tx1"/>
            </w14:solidFill>
          </w14:textFill>
        </w:rPr>
        <w:t>.合规声明</w:t>
      </w:r>
    </w:p>
    <w:p w14:paraId="7F453EDD">
      <w:pPr>
        <w:pStyle w:val="10"/>
        <w:tabs>
          <w:tab w:val="left" w:pos="0"/>
        </w:tabs>
        <w:spacing w:line="400" w:lineRule="exact"/>
        <w:ind w:firstLine="420" w:firstLineChars="200"/>
        <w:jc w:val="both"/>
        <w:rPr>
          <w:rFonts w:hint="eastAsia" w:ascii="方正仿宋_GBK" w:hAnsi="方正仿宋_GBK" w:eastAsia="方正仿宋_GBK" w:cs="方正仿宋_GBK"/>
          <w:color w:val="000000" w:themeColor="text1"/>
          <w:kern w:val="2"/>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2"/>
          <w:sz w:val="21"/>
          <w:szCs w:val="21"/>
          <w:highlight w:val="none"/>
          <w14:textFill>
            <w14:solidFill>
              <w14:schemeClr w14:val="tx1"/>
            </w14:solidFill>
          </w14:textFill>
        </w:rPr>
        <w:t>本招标文件（包括商务部分和技术部分）符合国家现行法律法规规定，若国家颁布新的法律法规或对现有法律法规进行修订，以新施行的法律法规规定为准。</w:t>
      </w:r>
    </w:p>
    <w:p w14:paraId="46AD8164">
      <w:pPr>
        <w:adjustRightInd w:val="0"/>
        <w:snapToGrid w:val="0"/>
        <w:spacing w:beforeLines="100" w:afterLines="50" w:line="400" w:lineRule="exact"/>
        <w:outlineLvl w:val="1"/>
        <w:rPr>
          <w:rFonts w:hint="eastAsia" w:ascii="方正仿宋_GBK" w:hAnsi="方正仿宋_GBK" w:eastAsia="方正仿宋_GBK" w:cs="方正仿宋_GBK"/>
          <w:b/>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b/>
          <w:color w:val="000000" w:themeColor="text1"/>
          <w:sz w:val="21"/>
          <w:szCs w:val="21"/>
          <w:highlight w:val="none"/>
          <w:lang w:val="en-US" w:eastAsia="zh-CN"/>
          <w14:textFill>
            <w14:solidFill>
              <w14:schemeClr w14:val="tx1"/>
            </w14:solidFill>
          </w14:textFill>
        </w:rPr>
        <w:t>10</w:t>
      </w:r>
      <w:r>
        <w:rPr>
          <w:rFonts w:hint="eastAsia" w:ascii="方正仿宋_GBK" w:hAnsi="方正仿宋_GBK" w:eastAsia="方正仿宋_GBK" w:cs="方正仿宋_GBK"/>
          <w:b/>
          <w:color w:val="000000" w:themeColor="text1"/>
          <w:sz w:val="21"/>
          <w:szCs w:val="21"/>
          <w:highlight w:val="none"/>
          <w14:textFill>
            <w14:solidFill>
              <w14:schemeClr w14:val="tx1"/>
            </w14:solidFill>
          </w14:textFill>
        </w:rPr>
        <w:t>.权利声明</w:t>
      </w:r>
    </w:p>
    <w:p w14:paraId="57D638F0">
      <w:pPr>
        <w:pStyle w:val="10"/>
        <w:tabs>
          <w:tab w:val="left" w:pos="0"/>
        </w:tabs>
        <w:spacing w:line="400" w:lineRule="exact"/>
        <w:ind w:firstLine="420" w:firstLineChars="200"/>
        <w:jc w:val="both"/>
        <w:rPr>
          <w:rFonts w:hint="eastAsia" w:ascii="方正仿宋_GBK" w:hAnsi="方正仿宋_GBK" w:eastAsia="方正仿宋_GBK" w:cs="方正仿宋_GBK"/>
          <w:color w:val="000000" w:themeColor="text1"/>
          <w:kern w:val="2"/>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2"/>
          <w:sz w:val="21"/>
          <w:szCs w:val="21"/>
          <w:highlight w:val="none"/>
          <w14:textFill>
            <w14:solidFill>
              <w14:schemeClr w14:val="tx1"/>
            </w14:solidFill>
          </w14:textFill>
        </w:rPr>
        <w:t>禁止对本招标文件或公示信息（依法必须招标项目的招标公告部分除外）进行任何形式的转载（包括但不限于部分或全文转载、修改后转载）或任何未经书面授权的使用。转载依法必须招标项目的招标公告或公示信息的，不得改变招标公告和公示信息的内容，须注明信息来源，不得用于非法用途。任何单位或个人不得违法转载（包括但不限于改变内容转载、转载不注明来源、遗漏或不及时转载修改或补充内容等）招标公告或公示信息、不得对招标公告或公示信息等内容进行不全面、不准确、不客观地分析或使用，任何单位或个人违法或违反本条规定转载、使用本招标文件或公示信息的，招标人将依法追究法律责任。</w:t>
      </w:r>
    </w:p>
    <w:p w14:paraId="77CCE32D">
      <w:pPr>
        <w:wordWrap w:val="0"/>
        <w:spacing w:line="400" w:lineRule="exact"/>
        <w:ind w:firstLine="420" w:firstLineChars="200"/>
        <w:jc w:val="righ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p w14:paraId="54539FCD">
      <w:pPr>
        <w:wordWrap w:val="0"/>
        <w:spacing w:line="400" w:lineRule="exact"/>
        <w:ind w:firstLine="420" w:firstLineChars="200"/>
        <w:jc w:val="right"/>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p w14:paraId="567DB492">
      <w:pPr>
        <w:wordWrap w:val="0"/>
        <w:spacing w:line="400" w:lineRule="exact"/>
        <w:ind w:firstLine="420" w:firstLineChars="200"/>
        <w:jc w:val="right"/>
        <w:rPr>
          <w:rFonts w:hint="eastAsia" w:ascii="方正仿宋_GBK" w:hAnsi="方正仿宋_GBK" w:eastAsia="方正仿宋_GBK" w:cs="方正仿宋_GBK"/>
          <w:color w:val="000000" w:themeColor="text1"/>
          <w:sz w:val="21"/>
          <w:szCs w:val="21"/>
          <w:highlight w:val="none"/>
          <w14:textFill>
            <w14:solidFill>
              <w14:schemeClr w14:val="tx1"/>
            </w14:solidFill>
          </w14:textFill>
        </w:rPr>
        <w:sectPr>
          <w:footerReference r:id="rId3" w:type="default"/>
          <w:pgSz w:w="11906" w:h="16838"/>
          <w:pgMar w:top="1134" w:right="1800" w:bottom="1134" w:left="1800" w:header="851" w:footer="992" w:gutter="0"/>
          <w:pgBorders>
            <w:top w:val="none" w:sz="0" w:space="0"/>
            <w:left w:val="none" w:sz="0" w:space="0"/>
            <w:bottom w:val="none" w:sz="0" w:space="0"/>
            <w:right w:val="none" w:sz="0" w:space="0"/>
          </w:pgBorders>
          <w:pgNumType w:fmt="decimal" w:start="1"/>
          <w:cols w:space="720" w:num="1"/>
          <w:docGrid w:linePitch="312" w:charSpace="0"/>
        </w:sectPr>
      </w:pP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2025年1</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月</w:t>
      </w: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22</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 xml:space="preserve">日 </w:t>
      </w:r>
    </w:p>
    <w:p w14:paraId="15397C9D">
      <w:pPr>
        <w:widowControl/>
        <w:jc w:val="left"/>
        <w:rPr>
          <w:rFonts w:hint="eastAsia" w:ascii="方正仿宋_GBK" w:hAnsi="方正仿宋_GBK" w:eastAsia="方正仿宋_GBK" w:cs="方正仿宋_GBK"/>
          <w:b/>
          <w:bCs/>
          <w:color w:val="000000" w:themeColor="text1"/>
          <w:kern w:val="0"/>
          <w:sz w:val="21"/>
          <w:szCs w:val="21"/>
          <w:highlight w:val="none"/>
          <w14:textFill>
            <w14:solidFill>
              <w14:schemeClr w14:val="tx1"/>
            </w14:solidFill>
          </w14:textFill>
        </w:rPr>
      </w:pPr>
      <w:r>
        <w:rPr>
          <w:rFonts w:hint="eastAsia" w:ascii="方正仿宋_GBK" w:hAnsi="方正仿宋_GBK" w:eastAsia="方正仿宋_GBK" w:cs="方正仿宋_GBK"/>
          <w:b/>
          <w:bCs/>
          <w:color w:val="000000" w:themeColor="text1"/>
          <w:kern w:val="0"/>
          <w:sz w:val="21"/>
          <w:szCs w:val="21"/>
          <w:highlight w:val="none"/>
          <w14:textFill>
            <w14:solidFill>
              <w14:schemeClr w14:val="tx1"/>
            </w14:solidFill>
          </w14:textFill>
        </w:rPr>
        <w:t>附件1   招标需求一览表</w:t>
      </w:r>
    </w:p>
    <w:tbl>
      <w:tblPr>
        <w:tblStyle w:val="7"/>
        <w:tblW w:w="457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57"/>
        <w:gridCol w:w="1913"/>
        <w:gridCol w:w="1145"/>
        <w:gridCol w:w="1614"/>
        <w:gridCol w:w="1382"/>
        <w:gridCol w:w="939"/>
        <w:gridCol w:w="1008"/>
        <w:gridCol w:w="4317"/>
      </w:tblGrid>
      <w:tr w14:paraId="24C63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5" w:hRule="atLeast"/>
          <w:jc w:val="center"/>
        </w:trPr>
        <w:tc>
          <w:tcPr>
            <w:tcW w:w="216" w:type="pct"/>
            <w:noWrap w:val="0"/>
            <w:tcMar>
              <w:top w:w="0" w:type="dxa"/>
              <w:left w:w="108" w:type="dxa"/>
              <w:bottom w:w="0" w:type="dxa"/>
              <w:right w:w="108" w:type="dxa"/>
            </w:tcMar>
            <w:vAlign w:val="center"/>
          </w:tcPr>
          <w:p w14:paraId="1EEB8C23">
            <w:pPr>
              <w:widowControl/>
              <w:spacing w:line="0" w:lineRule="atLeast"/>
              <w:jc w:val="center"/>
              <w:textAlignment w:val="center"/>
              <w:rPr>
                <w:rFonts w:hint="eastAsia" w:ascii="方正仿宋_GBK" w:hAnsi="方正仿宋_GBK" w:eastAsia="方正仿宋_GBK" w:cs="方正仿宋_GBK"/>
                <w:b/>
                <w:color w:val="auto"/>
                <w:kern w:val="0"/>
                <w:sz w:val="21"/>
                <w:szCs w:val="21"/>
                <w:highlight w:val="none"/>
                <w:lang w:val="en-US" w:eastAsia="zh-CN"/>
              </w:rPr>
            </w:pPr>
            <w:r>
              <w:rPr>
                <w:rFonts w:hint="eastAsia" w:ascii="方正仿宋_GBK" w:hAnsi="方正仿宋_GBK" w:eastAsia="方正仿宋_GBK" w:cs="方正仿宋_GBK"/>
                <w:b/>
                <w:color w:val="auto"/>
                <w:kern w:val="0"/>
                <w:sz w:val="21"/>
                <w:szCs w:val="21"/>
                <w:highlight w:val="none"/>
                <w:lang w:val="en-US" w:eastAsia="zh-CN"/>
              </w:rPr>
              <w:t>序号</w:t>
            </w:r>
          </w:p>
        </w:tc>
        <w:tc>
          <w:tcPr>
            <w:tcW w:w="742" w:type="pct"/>
            <w:noWrap w:val="0"/>
            <w:tcMar>
              <w:top w:w="0" w:type="dxa"/>
              <w:left w:w="108" w:type="dxa"/>
              <w:bottom w:w="0" w:type="dxa"/>
              <w:right w:w="108" w:type="dxa"/>
            </w:tcMar>
            <w:vAlign w:val="center"/>
          </w:tcPr>
          <w:p w14:paraId="5D93E7BB">
            <w:pPr>
              <w:widowControl/>
              <w:spacing w:line="0" w:lineRule="atLeast"/>
              <w:jc w:val="center"/>
              <w:textAlignment w:val="center"/>
              <w:rPr>
                <w:rFonts w:hint="eastAsia" w:ascii="方正仿宋_GBK" w:hAnsi="方正仿宋_GBK" w:eastAsia="方正仿宋_GBK" w:cs="方正仿宋_GBK"/>
                <w:b/>
                <w:color w:val="auto"/>
                <w:sz w:val="21"/>
                <w:szCs w:val="21"/>
                <w:highlight w:val="none"/>
              </w:rPr>
            </w:pPr>
            <w:r>
              <w:rPr>
                <w:rFonts w:hint="eastAsia" w:ascii="方正仿宋_GBK" w:hAnsi="方正仿宋_GBK" w:eastAsia="方正仿宋_GBK" w:cs="方正仿宋_GBK"/>
                <w:b/>
                <w:color w:val="auto"/>
                <w:kern w:val="0"/>
                <w:sz w:val="21"/>
                <w:szCs w:val="21"/>
                <w:highlight w:val="none"/>
              </w:rPr>
              <w:t>分标编号</w:t>
            </w:r>
          </w:p>
        </w:tc>
        <w:tc>
          <w:tcPr>
            <w:tcW w:w="444" w:type="pct"/>
            <w:noWrap w:val="0"/>
            <w:tcMar>
              <w:top w:w="0" w:type="dxa"/>
              <w:left w:w="108" w:type="dxa"/>
              <w:bottom w:w="0" w:type="dxa"/>
              <w:right w:w="108" w:type="dxa"/>
            </w:tcMar>
            <w:vAlign w:val="center"/>
          </w:tcPr>
          <w:p w14:paraId="23293202">
            <w:pPr>
              <w:widowControl/>
              <w:spacing w:line="0" w:lineRule="atLeast"/>
              <w:jc w:val="center"/>
              <w:textAlignment w:val="center"/>
              <w:rPr>
                <w:rFonts w:hint="eastAsia" w:ascii="方正仿宋_GBK" w:hAnsi="方正仿宋_GBK" w:eastAsia="方正仿宋_GBK" w:cs="方正仿宋_GBK"/>
                <w:b/>
                <w:color w:val="auto"/>
                <w:sz w:val="21"/>
                <w:szCs w:val="21"/>
                <w:highlight w:val="none"/>
              </w:rPr>
            </w:pPr>
            <w:r>
              <w:rPr>
                <w:rFonts w:hint="eastAsia" w:ascii="方正仿宋_GBK" w:hAnsi="方正仿宋_GBK" w:eastAsia="方正仿宋_GBK" w:cs="方正仿宋_GBK"/>
                <w:b/>
                <w:color w:val="auto"/>
                <w:kern w:val="0"/>
                <w:sz w:val="21"/>
                <w:szCs w:val="21"/>
                <w:highlight w:val="none"/>
              </w:rPr>
              <w:t>分标名称</w:t>
            </w:r>
          </w:p>
        </w:tc>
        <w:tc>
          <w:tcPr>
            <w:tcW w:w="626" w:type="pct"/>
            <w:noWrap w:val="0"/>
            <w:vAlign w:val="center"/>
          </w:tcPr>
          <w:p w14:paraId="684293B1">
            <w:pPr>
              <w:widowControl/>
              <w:spacing w:line="0" w:lineRule="atLeast"/>
              <w:jc w:val="center"/>
              <w:textAlignment w:val="center"/>
              <w:rPr>
                <w:rFonts w:hint="eastAsia" w:ascii="方正仿宋_GBK" w:hAnsi="方正仿宋_GBK" w:eastAsia="方正仿宋_GBK" w:cs="方正仿宋_GBK"/>
                <w:b/>
                <w:color w:val="auto"/>
                <w:sz w:val="21"/>
                <w:szCs w:val="21"/>
                <w:highlight w:val="none"/>
              </w:rPr>
            </w:pPr>
            <w:r>
              <w:rPr>
                <w:rFonts w:hint="eastAsia" w:ascii="方正仿宋_GBK" w:hAnsi="方正仿宋_GBK" w:eastAsia="方正仿宋_GBK" w:cs="方正仿宋_GBK"/>
                <w:b/>
                <w:color w:val="auto"/>
                <w:kern w:val="0"/>
                <w:sz w:val="21"/>
                <w:szCs w:val="21"/>
                <w:highlight w:val="none"/>
              </w:rPr>
              <w:t>包名称</w:t>
            </w:r>
          </w:p>
        </w:tc>
        <w:tc>
          <w:tcPr>
            <w:tcW w:w="536" w:type="pct"/>
            <w:noWrap w:val="0"/>
            <w:vAlign w:val="center"/>
          </w:tcPr>
          <w:p w14:paraId="1542632D">
            <w:pPr>
              <w:widowControl/>
              <w:spacing w:line="0" w:lineRule="atLeast"/>
              <w:jc w:val="center"/>
              <w:textAlignment w:val="center"/>
              <w:rPr>
                <w:rFonts w:hint="eastAsia" w:ascii="方正仿宋_GBK" w:hAnsi="方正仿宋_GBK" w:eastAsia="方正仿宋_GBK" w:cs="方正仿宋_GBK"/>
                <w:b/>
                <w:color w:val="auto"/>
                <w:sz w:val="21"/>
                <w:szCs w:val="21"/>
                <w:highlight w:val="none"/>
              </w:rPr>
            </w:pPr>
            <w:r>
              <w:rPr>
                <w:rFonts w:hint="eastAsia" w:ascii="方正仿宋_GBK" w:hAnsi="方正仿宋_GBK" w:eastAsia="方正仿宋_GBK" w:cs="方正仿宋_GBK"/>
                <w:b/>
                <w:color w:val="auto"/>
                <w:kern w:val="0"/>
                <w:sz w:val="21"/>
                <w:szCs w:val="21"/>
                <w:highlight w:val="none"/>
              </w:rPr>
              <w:t>供货期</w:t>
            </w:r>
          </w:p>
        </w:tc>
        <w:tc>
          <w:tcPr>
            <w:tcW w:w="364" w:type="pct"/>
            <w:noWrap w:val="0"/>
            <w:vAlign w:val="center"/>
          </w:tcPr>
          <w:p w14:paraId="3E67F2C9">
            <w:pPr>
              <w:widowControl/>
              <w:spacing w:line="0" w:lineRule="atLeast"/>
              <w:jc w:val="center"/>
              <w:textAlignment w:val="center"/>
              <w:rPr>
                <w:rFonts w:hint="eastAsia" w:ascii="方正仿宋_GBK" w:hAnsi="方正仿宋_GBK" w:eastAsia="方正仿宋_GBK" w:cs="方正仿宋_GBK"/>
                <w:b/>
                <w:color w:val="auto"/>
                <w:kern w:val="0"/>
                <w:sz w:val="21"/>
                <w:szCs w:val="21"/>
                <w:highlight w:val="none"/>
              </w:rPr>
            </w:pPr>
            <w:r>
              <w:rPr>
                <w:rFonts w:hint="eastAsia" w:ascii="方正仿宋_GBK" w:hAnsi="方正仿宋_GBK" w:eastAsia="方正仿宋_GBK" w:cs="方正仿宋_GBK"/>
                <w:b/>
                <w:color w:val="auto"/>
                <w:kern w:val="0"/>
                <w:sz w:val="21"/>
                <w:szCs w:val="21"/>
                <w:highlight w:val="none"/>
              </w:rPr>
              <w:t>最高限价</w:t>
            </w:r>
          </w:p>
          <w:p w14:paraId="583C5B71">
            <w:pPr>
              <w:widowControl/>
              <w:spacing w:line="0" w:lineRule="atLeast"/>
              <w:jc w:val="center"/>
              <w:textAlignment w:val="center"/>
              <w:rPr>
                <w:rFonts w:hint="eastAsia" w:ascii="方正仿宋_GBK" w:hAnsi="方正仿宋_GBK" w:eastAsia="方正仿宋_GBK" w:cs="方正仿宋_GBK"/>
                <w:b/>
                <w:color w:val="auto"/>
                <w:sz w:val="21"/>
                <w:szCs w:val="21"/>
                <w:highlight w:val="none"/>
              </w:rPr>
            </w:pPr>
            <w:r>
              <w:rPr>
                <w:rFonts w:hint="eastAsia" w:ascii="方正仿宋_GBK" w:hAnsi="方正仿宋_GBK" w:eastAsia="方正仿宋_GBK" w:cs="方正仿宋_GBK"/>
                <w:b/>
                <w:color w:val="auto"/>
                <w:kern w:val="0"/>
                <w:sz w:val="21"/>
                <w:szCs w:val="21"/>
                <w:highlight w:val="none"/>
              </w:rPr>
              <w:t>（含税）万元</w:t>
            </w:r>
          </w:p>
        </w:tc>
        <w:tc>
          <w:tcPr>
            <w:tcW w:w="391" w:type="pct"/>
            <w:noWrap w:val="0"/>
            <w:vAlign w:val="center"/>
          </w:tcPr>
          <w:p w14:paraId="1663667D">
            <w:pPr>
              <w:widowControl/>
              <w:spacing w:line="0" w:lineRule="atLeast"/>
              <w:jc w:val="center"/>
              <w:textAlignment w:val="center"/>
              <w:rPr>
                <w:rFonts w:hint="eastAsia" w:ascii="方正仿宋_GBK" w:hAnsi="方正仿宋_GBK" w:eastAsia="方正仿宋_GBK" w:cs="方正仿宋_GBK"/>
                <w:b/>
                <w:color w:val="auto"/>
                <w:kern w:val="0"/>
                <w:sz w:val="21"/>
                <w:szCs w:val="21"/>
                <w:highlight w:val="none"/>
              </w:rPr>
            </w:pPr>
            <w:r>
              <w:rPr>
                <w:rFonts w:hint="eastAsia" w:ascii="方正仿宋_GBK" w:hAnsi="方正仿宋_GBK" w:eastAsia="方正仿宋_GBK" w:cs="方正仿宋_GBK"/>
                <w:b/>
                <w:color w:val="auto"/>
                <w:kern w:val="0"/>
                <w:sz w:val="21"/>
                <w:szCs w:val="21"/>
                <w:highlight w:val="none"/>
              </w:rPr>
              <w:t>保证金（元）</w:t>
            </w:r>
          </w:p>
        </w:tc>
        <w:tc>
          <w:tcPr>
            <w:tcW w:w="1676" w:type="pct"/>
            <w:noWrap w:val="0"/>
            <w:vAlign w:val="center"/>
          </w:tcPr>
          <w:p w14:paraId="28C57039">
            <w:pPr>
              <w:widowControl/>
              <w:spacing w:line="0" w:lineRule="atLeast"/>
              <w:jc w:val="center"/>
              <w:textAlignment w:val="center"/>
              <w:rPr>
                <w:rFonts w:hint="eastAsia" w:ascii="方正仿宋_GBK" w:hAnsi="方正仿宋_GBK" w:eastAsia="方正仿宋_GBK" w:cs="方正仿宋_GBK"/>
                <w:b/>
                <w:color w:val="auto"/>
                <w:kern w:val="0"/>
                <w:sz w:val="21"/>
                <w:szCs w:val="21"/>
                <w:highlight w:val="none"/>
              </w:rPr>
            </w:pPr>
            <w:r>
              <w:rPr>
                <w:rFonts w:hint="eastAsia" w:ascii="方正仿宋_GBK" w:hAnsi="方正仿宋_GBK" w:eastAsia="方正仿宋_GBK" w:cs="方正仿宋_GBK"/>
                <w:b/>
                <w:bCs/>
                <w:color w:val="auto"/>
                <w:sz w:val="21"/>
                <w:szCs w:val="21"/>
                <w:highlight w:val="none"/>
                <w:lang w:val="en-US" w:eastAsia="zh-CN"/>
              </w:rPr>
              <w:t>投标人</w:t>
            </w:r>
            <w:r>
              <w:rPr>
                <w:rFonts w:hint="eastAsia" w:ascii="方正仿宋_GBK" w:hAnsi="方正仿宋_GBK" w:eastAsia="方正仿宋_GBK" w:cs="方正仿宋_GBK"/>
                <w:b/>
                <w:bCs/>
                <w:color w:val="auto"/>
                <w:sz w:val="21"/>
                <w:szCs w:val="21"/>
                <w:highlight w:val="none"/>
              </w:rPr>
              <w:t>资格要求/业绩要求</w:t>
            </w:r>
          </w:p>
        </w:tc>
      </w:tr>
      <w:tr w14:paraId="71136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7" w:hRule="atLeast"/>
          <w:jc w:val="center"/>
        </w:trPr>
        <w:tc>
          <w:tcPr>
            <w:tcW w:w="216" w:type="pct"/>
            <w:noWrap w:val="0"/>
            <w:tcMar>
              <w:top w:w="0" w:type="dxa"/>
              <w:left w:w="108" w:type="dxa"/>
              <w:bottom w:w="0" w:type="dxa"/>
              <w:right w:w="108" w:type="dxa"/>
            </w:tcMar>
            <w:vAlign w:val="center"/>
          </w:tcPr>
          <w:p w14:paraId="0E6DA779">
            <w:pPr>
              <w:widowControl/>
              <w:spacing w:line="0" w:lineRule="atLeast"/>
              <w:jc w:val="center"/>
              <w:textAlignment w:val="center"/>
              <w:rPr>
                <w:rFonts w:hint="eastAsia" w:ascii="方正仿宋_GBK" w:hAnsi="方正仿宋_GBK" w:eastAsia="方正仿宋_GBK" w:cs="方正仿宋_GBK"/>
                <w:b w:val="0"/>
                <w:bCs/>
                <w:color w:val="auto"/>
                <w:kern w:val="0"/>
                <w:sz w:val="21"/>
                <w:szCs w:val="21"/>
                <w:highlight w:val="none"/>
                <w:lang w:val="en-US" w:eastAsia="zh-CN"/>
              </w:rPr>
            </w:pPr>
            <w:bookmarkStart w:id="29" w:name="_GoBack"/>
            <w:bookmarkEnd w:id="29"/>
            <w:r>
              <w:rPr>
                <w:rFonts w:hint="eastAsia" w:ascii="方正仿宋_GBK" w:hAnsi="方正仿宋_GBK" w:eastAsia="方正仿宋_GBK" w:cs="方正仿宋_GBK"/>
                <w:b w:val="0"/>
                <w:bCs/>
                <w:color w:val="auto"/>
                <w:kern w:val="0"/>
                <w:sz w:val="21"/>
                <w:szCs w:val="21"/>
                <w:highlight w:val="none"/>
                <w:lang w:val="en-US" w:eastAsia="zh-CN"/>
              </w:rPr>
              <w:t>1</w:t>
            </w:r>
          </w:p>
        </w:tc>
        <w:tc>
          <w:tcPr>
            <w:tcW w:w="742" w:type="pct"/>
            <w:shd w:val="clear" w:color="auto" w:fill="auto"/>
            <w:noWrap w:val="0"/>
            <w:tcMar>
              <w:top w:w="0" w:type="dxa"/>
              <w:left w:w="108" w:type="dxa"/>
              <w:bottom w:w="0" w:type="dxa"/>
              <w:right w:w="108" w:type="dxa"/>
            </w:tcMar>
            <w:vAlign w:val="center"/>
          </w:tcPr>
          <w:p w14:paraId="4D152801">
            <w:pPr>
              <w:widowControl/>
              <w:spacing w:line="0" w:lineRule="atLeast"/>
              <w:jc w:val="center"/>
              <w:textAlignment w:val="center"/>
              <w:rPr>
                <w:rFonts w:hint="eastAsia" w:ascii="方正仿宋_GBK" w:hAnsi="方正仿宋_GBK" w:eastAsia="方正仿宋_GBK" w:cs="方正仿宋_GBK"/>
                <w:b w:val="0"/>
                <w:bCs/>
                <w:color w:val="auto"/>
                <w:kern w:val="0"/>
                <w:sz w:val="21"/>
                <w:szCs w:val="21"/>
                <w:highlight w:val="none"/>
                <w:lang w:val="en-US" w:eastAsia="zh-CN"/>
              </w:rPr>
            </w:pPr>
            <w:r>
              <w:rPr>
                <w:rFonts w:hint="eastAsia" w:ascii="方正仿宋_GBK" w:hAnsi="方正仿宋_GBK" w:eastAsia="方正仿宋_GBK" w:cs="方正仿宋_GBK"/>
                <w:b w:val="0"/>
                <w:bCs/>
                <w:color w:val="auto"/>
                <w:kern w:val="0"/>
                <w:sz w:val="21"/>
                <w:szCs w:val="21"/>
                <w:highlight w:val="none"/>
                <w:lang w:val="en-US" w:eastAsia="zh-CN"/>
              </w:rPr>
              <w:t>YTZBWZ2025-1001</w:t>
            </w:r>
          </w:p>
        </w:tc>
        <w:tc>
          <w:tcPr>
            <w:tcW w:w="444" w:type="pct"/>
            <w:shd w:val="clear" w:color="auto" w:fill="auto"/>
            <w:noWrap w:val="0"/>
            <w:tcMar>
              <w:top w:w="0" w:type="dxa"/>
              <w:left w:w="108" w:type="dxa"/>
              <w:bottom w:w="0" w:type="dxa"/>
              <w:right w:w="108" w:type="dxa"/>
            </w:tcMar>
            <w:vAlign w:val="center"/>
          </w:tcPr>
          <w:p w14:paraId="64547DBB">
            <w:pPr>
              <w:widowControl/>
              <w:spacing w:line="0" w:lineRule="atLeast"/>
              <w:jc w:val="center"/>
              <w:textAlignment w:val="center"/>
              <w:rPr>
                <w:rFonts w:hint="eastAsia" w:ascii="方正仿宋_GBK" w:hAnsi="方正仿宋_GBK" w:eastAsia="方正仿宋_GBK" w:cs="方正仿宋_GBK"/>
                <w:b w:val="0"/>
                <w:bCs/>
                <w:color w:val="auto"/>
                <w:kern w:val="0"/>
                <w:sz w:val="21"/>
                <w:szCs w:val="21"/>
                <w:highlight w:val="none"/>
                <w:lang w:val="en-US" w:eastAsia="zh-CN"/>
              </w:rPr>
            </w:pPr>
            <w:r>
              <w:rPr>
                <w:rFonts w:hint="eastAsia" w:ascii="方正仿宋_GBK" w:hAnsi="方正仿宋_GBK" w:eastAsia="方正仿宋_GBK" w:cs="方正仿宋_GBK"/>
                <w:b w:val="0"/>
                <w:bCs/>
                <w:color w:val="auto"/>
                <w:kern w:val="0"/>
                <w:sz w:val="21"/>
                <w:szCs w:val="21"/>
                <w:highlight w:val="none"/>
                <w:lang w:val="en-US" w:eastAsia="zh-CN"/>
              </w:rPr>
              <w:t>设备检修耗材采购</w:t>
            </w:r>
          </w:p>
        </w:tc>
        <w:tc>
          <w:tcPr>
            <w:tcW w:w="626" w:type="pct"/>
            <w:noWrap w:val="0"/>
            <w:vAlign w:val="center"/>
          </w:tcPr>
          <w:p w14:paraId="41C8FBAE">
            <w:pPr>
              <w:widowControl/>
              <w:spacing w:line="0" w:lineRule="atLeast"/>
              <w:jc w:val="center"/>
              <w:textAlignment w:val="center"/>
              <w:rPr>
                <w:rFonts w:hint="eastAsia" w:ascii="方正仿宋_GBK" w:hAnsi="方正仿宋_GBK" w:eastAsia="方正仿宋_GBK" w:cs="方正仿宋_GBK"/>
                <w:b w:val="0"/>
                <w:bCs/>
                <w:color w:val="auto"/>
                <w:kern w:val="0"/>
                <w:sz w:val="21"/>
                <w:szCs w:val="21"/>
                <w:highlight w:val="none"/>
                <w:lang w:val="en-US" w:eastAsia="zh-CN"/>
              </w:rPr>
            </w:pPr>
            <w:r>
              <w:rPr>
                <w:rFonts w:hint="eastAsia" w:ascii="方正仿宋_GBK" w:hAnsi="方正仿宋_GBK" w:eastAsia="方正仿宋_GBK" w:cs="方正仿宋_GBK"/>
                <w:b w:val="0"/>
                <w:bCs/>
                <w:color w:val="auto"/>
                <w:kern w:val="0"/>
                <w:sz w:val="21"/>
                <w:szCs w:val="21"/>
                <w:highlight w:val="none"/>
                <w:lang w:val="en-US" w:eastAsia="zh-CN"/>
              </w:rPr>
              <w:t>YTZB20250101设备检修耗材采购</w:t>
            </w:r>
          </w:p>
        </w:tc>
        <w:tc>
          <w:tcPr>
            <w:tcW w:w="536" w:type="pct"/>
            <w:shd w:val="clear" w:color="auto" w:fill="auto"/>
            <w:noWrap w:val="0"/>
            <w:vAlign w:val="center"/>
          </w:tcPr>
          <w:p w14:paraId="6E8AAAC6">
            <w:pPr>
              <w:widowControl/>
              <w:spacing w:line="0" w:lineRule="atLeast"/>
              <w:jc w:val="center"/>
              <w:textAlignment w:val="center"/>
              <w:rPr>
                <w:rFonts w:hint="default" w:ascii="方正仿宋_GBK" w:hAnsi="方正仿宋_GBK" w:eastAsia="方正仿宋_GBK" w:cs="方正仿宋_GBK"/>
                <w:b w:val="0"/>
                <w:bCs/>
                <w:color w:val="auto"/>
                <w:kern w:val="0"/>
                <w:sz w:val="21"/>
                <w:szCs w:val="21"/>
                <w:highlight w:val="none"/>
                <w:lang w:val="en-US" w:eastAsia="zh-CN"/>
              </w:rPr>
            </w:pPr>
            <w:r>
              <w:rPr>
                <w:rFonts w:hint="eastAsia" w:ascii="方正仿宋_GBK" w:hAnsi="方正仿宋_GBK" w:eastAsia="方正仿宋_GBK" w:cs="方正仿宋_GBK"/>
                <w:b w:val="0"/>
                <w:bCs/>
                <w:color w:val="auto"/>
                <w:kern w:val="0"/>
                <w:sz w:val="21"/>
                <w:szCs w:val="21"/>
                <w:highlight w:val="none"/>
                <w:lang w:val="en-US" w:eastAsia="zh-CN"/>
              </w:rPr>
              <w:t>合同签订后30日内</w:t>
            </w:r>
          </w:p>
        </w:tc>
        <w:tc>
          <w:tcPr>
            <w:tcW w:w="364" w:type="pct"/>
            <w:noWrap w:val="0"/>
            <w:vAlign w:val="center"/>
          </w:tcPr>
          <w:p w14:paraId="713B2205">
            <w:pPr>
              <w:widowControl/>
              <w:spacing w:line="0" w:lineRule="atLeast"/>
              <w:jc w:val="center"/>
              <w:textAlignment w:val="center"/>
              <w:rPr>
                <w:rFonts w:hint="eastAsia" w:ascii="方正仿宋_GBK" w:hAnsi="方正仿宋_GBK" w:eastAsia="方正仿宋_GBK" w:cs="方正仿宋_GBK"/>
                <w:b w:val="0"/>
                <w:bCs/>
                <w:color w:val="auto"/>
                <w:kern w:val="0"/>
                <w:sz w:val="21"/>
                <w:szCs w:val="21"/>
                <w:highlight w:val="none"/>
                <w:lang w:val="en-US" w:eastAsia="zh-CN"/>
              </w:rPr>
            </w:pPr>
            <w:r>
              <w:rPr>
                <w:rFonts w:hint="eastAsia" w:ascii="方正仿宋_GBK" w:hAnsi="方正仿宋_GBK" w:eastAsia="方正仿宋_GBK" w:cs="方正仿宋_GBK"/>
                <w:b w:val="0"/>
                <w:bCs/>
                <w:color w:val="auto"/>
                <w:kern w:val="0"/>
                <w:sz w:val="21"/>
                <w:szCs w:val="21"/>
                <w:highlight w:val="none"/>
                <w:lang w:val="en-US" w:eastAsia="zh-CN"/>
              </w:rPr>
              <w:t>344.2549</w:t>
            </w:r>
          </w:p>
        </w:tc>
        <w:tc>
          <w:tcPr>
            <w:tcW w:w="391" w:type="pct"/>
            <w:noWrap w:val="0"/>
            <w:vAlign w:val="center"/>
          </w:tcPr>
          <w:p w14:paraId="5EDD888E">
            <w:pPr>
              <w:widowControl/>
              <w:spacing w:line="0" w:lineRule="atLeast"/>
              <w:jc w:val="center"/>
              <w:textAlignment w:val="center"/>
              <w:rPr>
                <w:rFonts w:hint="eastAsia" w:ascii="方正仿宋_GBK" w:hAnsi="方正仿宋_GBK" w:eastAsia="方正仿宋_GBK" w:cs="方正仿宋_GBK"/>
                <w:b w:val="0"/>
                <w:bCs/>
                <w:color w:val="auto"/>
                <w:kern w:val="0"/>
                <w:sz w:val="21"/>
                <w:szCs w:val="21"/>
                <w:highlight w:val="none"/>
                <w:lang w:val="en-US" w:eastAsia="zh-CN"/>
              </w:rPr>
            </w:pPr>
            <w:r>
              <w:rPr>
                <w:rFonts w:hint="eastAsia" w:ascii="方正仿宋_GBK" w:hAnsi="方正仿宋_GBK" w:eastAsia="方正仿宋_GBK" w:cs="方正仿宋_GBK"/>
                <w:b w:val="0"/>
                <w:bCs/>
                <w:color w:val="auto"/>
                <w:kern w:val="0"/>
                <w:sz w:val="21"/>
                <w:szCs w:val="21"/>
                <w:highlight w:val="none"/>
                <w:lang w:val="en-US" w:eastAsia="zh-CN"/>
              </w:rPr>
              <w:t>62000</w:t>
            </w:r>
          </w:p>
        </w:tc>
        <w:tc>
          <w:tcPr>
            <w:tcW w:w="1676" w:type="pct"/>
            <w:shd w:val="clear" w:color="auto" w:fill="auto"/>
            <w:noWrap w:val="0"/>
            <w:vAlign w:val="center"/>
          </w:tcPr>
          <w:p w14:paraId="69007A32">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2"/>
                <w:sz w:val="21"/>
                <w:szCs w:val="21"/>
                <w:highlight w:val="none"/>
                <w:u w:val="none"/>
                <w:lang w:val="en-US" w:eastAsia="zh-CN" w:bidi="ar-SA"/>
              </w:rPr>
            </w:pPr>
            <w:r>
              <w:rPr>
                <w:rFonts w:hint="eastAsia" w:ascii="方正仿宋_GBK" w:hAnsi="方正仿宋_GBK" w:eastAsia="方正仿宋_GBK" w:cs="方正仿宋_GBK"/>
                <w:color w:val="auto"/>
                <w:sz w:val="21"/>
                <w:szCs w:val="21"/>
                <w:highlight w:val="none"/>
                <w:lang w:val="en-US" w:eastAsia="zh-CN"/>
              </w:rPr>
              <w:t>提供2022年1月1日至招标公告发布前1日（以合同签订时间为准），耗材销售业绩至少1份，且单项合同金额不低于100万。</w:t>
            </w:r>
          </w:p>
        </w:tc>
      </w:tr>
      <w:tr w14:paraId="2CC07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7" w:hRule="atLeast"/>
          <w:jc w:val="center"/>
        </w:trPr>
        <w:tc>
          <w:tcPr>
            <w:tcW w:w="216" w:type="pct"/>
            <w:noWrap w:val="0"/>
            <w:tcMar>
              <w:top w:w="0" w:type="dxa"/>
              <w:left w:w="108" w:type="dxa"/>
              <w:bottom w:w="0" w:type="dxa"/>
              <w:right w:w="108" w:type="dxa"/>
            </w:tcMar>
            <w:vAlign w:val="center"/>
          </w:tcPr>
          <w:p w14:paraId="760E0257">
            <w:pPr>
              <w:widowControl/>
              <w:spacing w:line="0" w:lineRule="atLeast"/>
              <w:jc w:val="center"/>
              <w:textAlignment w:val="center"/>
              <w:rPr>
                <w:rFonts w:hint="eastAsia" w:ascii="方正仿宋_GBK" w:hAnsi="方正仿宋_GBK" w:eastAsia="方正仿宋_GBK" w:cs="方正仿宋_GBK"/>
                <w:b w:val="0"/>
                <w:bCs/>
                <w:color w:val="auto"/>
                <w:kern w:val="0"/>
                <w:sz w:val="21"/>
                <w:szCs w:val="21"/>
                <w:highlight w:val="none"/>
                <w:lang w:val="en-US" w:eastAsia="zh-CN"/>
              </w:rPr>
            </w:pPr>
            <w:bookmarkStart w:id="28" w:name="OLE_LINK1" w:colFirst="5" w:colLast="6"/>
            <w:r>
              <w:rPr>
                <w:rFonts w:hint="eastAsia" w:ascii="方正仿宋_GBK" w:hAnsi="方正仿宋_GBK" w:eastAsia="方正仿宋_GBK" w:cs="方正仿宋_GBK"/>
                <w:b w:val="0"/>
                <w:bCs/>
                <w:color w:val="auto"/>
                <w:kern w:val="0"/>
                <w:sz w:val="21"/>
                <w:szCs w:val="21"/>
                <w:highlight w:val="none"/>
                <w:lang w:val="en-US" w:eastAsia="zh-CN"/>
              </w:rPr>
              <w:t>2</w:t>
            </w:r>
          </w:p>
        </w:tc>
        <w:tc>
          <w:tcPr>
            <w:tcW w:w="742" w:type="pct"/>
            <w:shd w:val="clear" w:color="auto" w:fill="auto"/>
            <w:noWrap w:val="0"/>
            <w:tcMar>
              <w:top w:w="0" w:type="dxa"/>
              <w:left w:w="108" w:type="dxa"/>
              <w:bottom w:w="0" w:type="dxa"/>
              <w:right w:w="108" w:type="dxa"/>
            </w:tcMar>
            <w:vAlign w:val="center"/>
          </w:tcPr>
          <w:p w14:paraId="018914B1">
            <w:pPr>
              <w:widowControl/>
              <w:spacing w:line="0" w:lineRule="atLeast"/>
              <w:jc w:val="center"/>
              <w:textAlignment w:val="center"/>
              <w:rPr>
                <w:rFonts w:hint="eastAsia" w:ascii="方正仿宋_GBK" w:hAnsi="方正仿宋_GBK" w:eastAsia="方正仿宋_GBK" w:cs="方正仿宋_GBK"/>
                <w:b w:val="0"/>
                <w:bCs/>
                <w:color w:val="auto"/>
                <w:kern w:val="0"/>
                <w:sz w:val="21"/>
                <w:szCs w:val="21"/>
                <w:highlight w:val="none"/>
                <w:lang w:val="en-US" w:eastAsia="zh-CN"/>
              </w:rPr>
            </w:pPr>
            <w:r>
              <w:rPr>
                <w:rFonts w:hint="eastAsia" w:ascii="方正仿宋_GBK" w:hAnsi="方正仿宋_GBK" w:eastAsia="方正仿宋_GBK" w:cs="方正仿宋_GBK"/>
                <w:b w:val="0"/>
                <w:bCs/>
                <w:color w:val="auto"/>
                <w:kern w:val="0"/>
                <w:sz w:val="21"/>
                <w:szCs w:val="21"/>
                <w:highlight w:val="none"/>
                <w:lang w:val="en-US" w:eastAsia="zh-CN"/>
              </w:rPr>
              <w:t>YTZBWZ2025-1002</w:t>
            </w:r>
          </w:p>
        </w:tc>
        <w:tc>
          <w:tcPr>
            <w:tcW w:w="444" w:type="pct"/>
            <w:shd w:val="clear" w:color="auto" w:fill="auto"/>
            <w:noWrap w:val="0"/>
            <w:tcMar>
              <w:top w:w="0" w:type="dxa"/>
              <w:left w:w="108" w:type="dxa"/>
              <w:bottom w:w="0" w:type="dxa"/>
              <w:right w:w="108" w:type="dxa"/>
            </w:tcMar>
            <w:vAlign w:val="center"/>
          </w:tcPr>
          <w:p w14:paraId="6F11D908">
            <w:pPr>
              <w:widowControl/>
              <w:spacing w:line="0" w:lineRule="atLeast"/>
              <w:jc w:val="center"/>
              <w:textAlignment w:val="center"/>
              <w:rPr>
                <w:rFonts w:hint="eastAsia" w:ascii="方正仿宋_GBK" w:hAnsi="方正仿宋_GBK" w:eastAsia="方正仿宋_GBK" w:cs="方正仿宋_GBK"/>
                <w:b w:val="0"/>
                <w:bCs/>
                <w:color w:val="auto"/>
                <w:kern w:val="0"/>
                <w:sz w:val="21"/>
                <w:szCs w:val="21"/>
                <w:highlight w:val="none"/>
                <w:lang w:val="en-US" w:eastAsia="zh-CN"/>
              </w:rPr>
            </w:pPr>
            <w:r>
              <w:rPr>
                <w:rFonts w:hint="eastAsia" w:ascii="方正仿宋_GBK" w:hAnsi="方正仿宋_GBK" w:eastAsia="方正仿宋_GBK" w:cs="方正仿宋_GBK"/>
                <w:b w:val="0"/>
                <w:bCs/>
                <w:color w:val="auto"/>
                <w:kern w:val="0"/>
                <w:sz w:val="21"/>
                <w:szCs w:val="21"/>
                <w:highlight w:val="none"/>
                <w:lang w:val="en-US" w:eastAsia="zh-CN"/>
              </w:rPr>
              <w:t>喷嘴及配件采购</w:t>
            </w:r>
          </w:p>
        </w:tc>
        <w:tc>
          <w:tcPr>
            <w:tcW w:w="626" w:type="pct"/>
            <w:shd w:val="clear" w:color="auto" w:fill="auto"/>
            <w:noWrap w:val="0"/>
            <w:vAlign w:val="center"/>
          </w:tcPr>
          <w:p w14:paraId="3530A306">
            <w:pPr>
              <w:widowControl/>
              <w:spacing w:line="0" w:lineRule="atLeast"/>
              <w:jc w:val="center"/>
              <w:textAlignment w:val="center"/>
              <w:rPr>
                <w:rFonts w:hint="eastAsia" w:ascii="方正仿宋_GBK" w:hAnsi="方正仿宋_GBK" w:eastAsia="方正仿宋_GBK" w:cs="方正仿宋_GBK"/>
                <w:b w:val="0"/>
                <w:bCs/>
                <w:color w:val="auto"/>
                <w:kern w:val="0"/>
                <w:sz w:val="21"/>
                <w:szCs w:val="21"/>
                <w:highlight w:val="none"/>
                <w:lang w:val="en-US" w:eastAsia="zh-CN"/>
              </w:rPr>
            </w:pPr>
            <w:r>
              <w:rPr>
                <w:rFonts w:hint="eastAsia" w:ascii="方正仿宋_GBK" w:hAnsi="方正仿宋_GBK" w:eastAsia="方正仿宋_GBK" w:cs="方正仿宋_GBK"/>
                <w:b w:val="0"/>
                <w:bCs/>
                <w:color w:val="auto"/>
                <w:kern w:val="0"/>
                <w:sz w:val="21"/>
                <w:szCs w:val="21"/>
                <w:highlight w:val="none"/>
                <w:lang w:val="en-US" w:eastAsia="zh-CN"/>
              </w:rPr>
              <w:t>YTZB20250102喷嘴及配件采购</w:t>
            </w:r>
          </w:p>
        </w:tc>
        <w:tc>
          <w:tcPr>
            <w:tcW w:w="536" w:type="pct"/>
            <w:noWrap w:val="0"/>
            <w:vAlign w:val="center"/>
          </w:tcPr>
          <w:p w14:paraId="61A98367">
            <w:pPr>
              <w:widowControl/>
              <w:spacing w:line="0" w:lineRule="atLeast"/>
              <w:jc w:val="center"/>
              <w:textAlignment w:val="center"/>
              <w:rPr>
                <w:rFonts w:hint="eastAsia" w:ascii="方正仿宋_GBK" w:hAnsi="方正仿宋_GBK" w:eastAsia="方正仿宋_GBK" w:cs="方正仿宋_GBK"/>
                <w:b w:val="0"/>
                <w:bCs/>
                <w:color w:val="auto"/>
                <w:kern w:val="0"/>
                <w:sz w:val="21"/>
                <w:szCs w:val="21"/>
                <w:highlight w:val="none"/>
                <w:lang w:val="en-US" w:eastAsia="zh-CN"/>
              </w:rPr>
            </w:pPr>
            <w:r>
              <w:rPr>
                <w:rFonts w:hint="eastAsia" w:ascii="方正仿宋_GBK" w:hAnsi="方正仿宋_GBK" w:eastAsia="方正仿宋_GBK" w:cs="方正仿宋_GBK"/>
                <w:b w:val="0"/>
                <w:bCs/>
                <w:color w:val="auto"/>
                <w:kern w:val="0"/>
                <w:sz w:val="21"/>
                <w:szCs w:val="21"/>
                <w:highlight w:val="none"/>
                <w:lang w:val="en-US" w:eastAsia="zh-CN"/>
              </w:rPr>
              <w:t>合同签订后30日内</w:t>
            </w:r>
          </w:p>
        </w:tc>
        <w:tc>
          <w:tcPr>
            <w:tcW w:w="364" w:type="pct"/>
            <w:noWrap w:val="0"/>
            <w:vAlign w:val="center"/>
          </w:tcPr>
          <w:p w14:paraId="0CBA52CC">
            <w:pPr>
              <w:widowControl/>
              <w:spacing w:line="0" w:lineRule="atLeast"/>
              <w:jc w:val="center"/>
              <w:textAlignment w:val="center"/>
              <w:rPr>
                <w:rFonts w:hint="eastAsia" w:ascii="方正仿宋_GBK" w:hAnsi="方正仿宋_GBK" w:eastAsia="方正仿宋_GBK" w:cs="方正仿宋_GBK"/>
                <w:b w:val="0"/>
                <w:bCs/>
                <w:color w:val="auto"/>
                <w:kern w:val="0"/>
                <w:sz w:val="21"/>
                <w:szCs w:val="21"/>
                <w:highlight w:val="none"/>
                <w:lang w:val="en-US" w:eastAsia="zh-CN"/>
              </w:rPr>
            </w:pPr>
            <w:r>
              <w:rPr>
                <w:rFonts w:hint="eastAsia" w:ascii="方正仿宋_GBK" w:hAnsi="方正仿宋_GBK" w:eastAsia="方正仿宋_GBK" w:cs="方正仿宋_GBK"/>
                <w:b w:val="0"/>
                <w:bCs/>
                <w:color w:val="auto"/>
                <w:kern w:val="0"/>
                <w:sz w:val="21"/>
                <w:szCs w:val="21"/>
                <w:highlight w:val="none"/>
                <w:lang w:val="en-US" w:eastAsia="zh-CN"/>
              </w:rPr>
              <w:t>30</w:t>
            </w:r>
          </w:p>
        </w:tc>
        <w:tc>
          <w:tcPr>
            <w:tcW w:w="391" w:type="pct"/>
            <w:noWrap w:val="0"/>
            <w:vAlign w:val="center"/>
          </w:tcPr>
          <w:p w14:paraId="2637A56C">
            <w:pPr>
              <w:widowControl/>
              <w:spacing w:line="0" w:lineRule="atLeast"/>
              <w:jc w:val="center"/>
              <w:textAlignment w:val="center"/>
              <w:rPr>
                <w:rFonts w:hint="eastAsia" w:ascii="方正仿宋_GBK" w:hAnsi="方正仿宋_GBK" w:eastAsia="方正仿宋_GBK" w:cs="方正仿宋_GBK"/>
                <w:b w:val="0"/>
                <w:bCs/>
                <w:color w:val="auto"/>
                <w:kern w:val="0"/>
                <w:sz w:val="21"/>
                <w:szCs w:val="21"/>
                <w:highlight w:val="none"/>
                <w:lang w:val="en-US" w:eastAsia="zh-CN"/>
              </w:rPr>
            </w:pPr>
            <w:r>
              <w:rPr>
                <w:rFonts w:hint="eastAsia" w:ascii="方正仿宋_GBK" w:hAnsi="方正仿宋_GBK" w:eastAsia="方正仿宋_GBK" w:cs="方正仿宋_GBK"/>
                <w:b w:val="0"/>
                <w:bCs/>
                <w:color w:val="auto"/>
                <w:kern w:val="0"/>
                <w:sz w:val="21"/>
                <w:szCs w:val="21"/>
                <w:highlight w:val="none"/>
                <w:lang w:val="en-US" w:eastAsia="zh-CN"/>
              </w:rPr>
              <w:t>5400</w:t>
            </w:r>
          </w:p>
        </w:tc>
        <w:tc>
          <w:tcPr>
            <w:tcW w:w="1676" w:type="pct"/>
            <w:noWrap w:val="0"/>
            <w:vAlign w:val="center"/>
          </w:tcPr>
          <w:p w14:paraId="68E81AA8">
            <w:pPr>
              <w:numPr>
                <w:ilvl w:val="0"/>
                <w:numId w:val="0"/>
              </w:numPr>
              <w:rPr>
                <w:rFonts w:hint="eastAsia" w:ascii="方正仿宋_GBK" w:hAnsi="方正仿宋_GBK" w:eastAsia="方正仿宋_GBK" w:cs="方正仿宋_GBK"/>
                <w:b w:val="0"/>
                <w:bCs/>
                <w:color w:val="auto"/>
                <w:kern w:val="0"/>
                <w:sz w:val="21"/>
                <w:szCs w:val="21"/>
                <w:highlight w:val="none"/>
                <w:lang w:val="en-US" w:eastAsia="zh-CN"/>
              </w:rPr>
            </w:pPr>
            <w:r>
              <w:rPr>
                <w:rFonts w:hint="eastAsia" w:ascii="方正仿宋_GBK" w:hAnsi="方正仿宋_GBK" w:eastAsia="方正仿宋_GBK" w:cs="方正仿宋_GBK"/>
                <w:b w:val="0"/>
                <w:bCs/>
                <w:color w:val="auto"/>
                <w:kern w:val="0"/>
                <w:sz w:val="21"/>
                <w:szCs w:val="21"/>
                <w:highlight w:val="none"/>
                <w:lang w:val="en-US" w:eastAsia="zh-CN"/>
              </w:rPr>
              <w:t>提供2022年1月1日至招标公告发布前1日（以合同签订时间为准），耗材销售业绩至少1份。</w:t>
            </w:r>
          </w:p>
        </w:tc>
      </w:tr>
      <w:tr w14:paraId="6B212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7" w:hRule="atLeast"/>
          <w:jc w:val="center"/>
        </w:trPr>
        <w:tc>
          <w:tcPr>
            <w:tcW w:w="216" w:type="pct"/>
            <w:noWrap w:val="0"/>
            <w:tcMar>
              <w:top w:w="0" w:type="dxa"/>
              <w:left w:w="108" w:type="dxa"/>
              <w:bottom w:w="0" w:type="dxa"/>
              <w:right w:w="108" w:type="dxa"/>
            </w:tcMar>
            <w:vAlign w:val="center"/>
          </w:tcPr>
          <w:p w14:paraId="21B25CE7">
            <w:pPr>
              <w:widowControl/>
              <w:spacing w:line="0" w:lineRule="atLeast"/>
              <w:jc w:val="center"/>
              <w:textAlignment w:val="center"/>
              <w:rPr>
                <w:rFonts w:hint="eastAsia" w:ascii="方正仿宋_GBK" w:hAnsi="方正仿宋_GBK" w:eastAsia="方正仿宋_GBK" w:cs="方正仿宋_GBK"/>
                <w:b w:val="0"/>
                <w:bCs/>
                <w:color w:val="auto"/>
                <w:kern w:val="0"/>
                <w:sz w:val="21"/>
                <w:szCs w:val="21"/>
                <w:highlight w:val="none"/>
                <w:lang w:val="en-US" w:eastAsia="zh-CN"/>
              </w:rPr>
            </w:pPr>
            <w:r>
              <w:rPr>
                <w:rFonts w:hint="eastAsia" w:ascii="方正仿宋_GBK" w:hAnsi="方正仿宋_GBK" w:eastAsia="方正仿宋_GBK" w:cs="方正仿宋_GBK"/>
                <w:b w:val="0"/>
                <w:bCs/>
                <w:color w:val="auto"/>
                <w:kern w:val="0"/>
                <w:sz w:val="21"/>
                <w:szCs w:val="21"/>
                <w:highlight w:val="none"/>
                <w:lang w:val="en-US" w:eastAsia="zh-CN"/>
              </w:rPr>
              <w:t>3</w:t>
            </w:r>
          </w:p>
        </w:tc>
        <w:tc>
          <w:tcPr>
            <w:tcW w:w="742" w:type="pct"/>
            <w:shd w:val="clear" w:color="auto" w:fill="auto"/>
            <w:noWrap w:val="0"/>
            <w:tcMar>
              <w:top w:w="0" w:type="dxa"/>
              <w:left w:w="108" w:type="dxa"/>
              <w:bottom w:w="0" w:type="dxa"/>
              <w:right w:w="108" w:type="dxa"/>
            </w:tcMar>
            <w:vAlign w:val="center"/>
          </w:tcPr>
          <w:p w14:paraId="43D2A74D">
            <w:pPr>
              <w:widowControl/>
              <w:spacing w:line="0" w:lineRule="atLeast"/>
              <w:jc w:val="center"/>
              <w:textAlignment w:val="center"/>
              <w:rPr>
                <w:rFonts w:hint="eastAsia" w:ascii="方正仿宋_GBK" w:hAnsi="方正仿宋_GBK" w:eastAsia="方正仿宋_GBK" w:cs="方正仿宋_GBK"/>
                <w:b w:val="0"/>
                <w:bCs/>
                <w:color w:val="auto"/>
                <w:kern w:val="0"/>
                <w:sz w:val="21"/>
                <w:szCs w:val="21"/>
                <w:highlight w:val="none"/>
                <w:lang w:val="en-US" w:eastAsia="zh-CN"/>
              </w:rPr>
            </w:pPr>
            <w:r>
              <w:rPr>
                <w:rFonts w:hint="eastAsia" w:ascii="方正仿宋_GBK" w:hAnsi="方正仿宋_GBK" w:eastAsia="方正仿宋_GBK" w:cs="方正仿宋_GBK"/>
                <w:b w:val="0"/>
                <w:bCs/>
                <w:color w:val="auto"/>
                <w:kern w:val="0"/>
                <w:sz w:val="21"/>
                <w:szCs w:val="21"/>
                <w:highlight w:val="none"/>
                <w:lang w:val="en-US" w:eastAsia="zh-CN"/>
              </w:rPr>
              <w:t>YTZBWZ2025-1003</w:t>
            </w:r>
          </w:p>
        </w:tc>
        <w:tc>
          <w:tcPr>
            <w:tcW w:w="444" w:type="pct"/>
            <w:shd w:val="clear" w:color="auto" w:fill="auto"/>
            <w:noWrap w:val="0"/>
            <w:tcMar>
              <w:top w:w="0" w:type="dxa"/>
              <w:left w:w="108" w:type="dxa"/>
              <w:bottom w:w="0" w:type="dxa"/>
              <w:right w:w="108" w:type="dxa"/>
            </w:tcMar>
            <w:vAlign w:val="center"/>
          </w:tcPr>
          <w:p w14:paraId="7E8EDCFC">
            <w:pPr>
              <w:widowControl/>
              <w:spacing w:line="0" w:lineRule="atLeast"/>
              <w:jc w:val="center"/>
              <w:textAlignment w:val="center"/>
              <w:rPr>
                <w:rFonts w:hint="eastAsia" w:ascii="方正仿宋_GBK" w:hAnsi="方正仿宋_GBK" w:eastAsia="方正仿宋_GBK" w:cs="方正仿宋_GBK"/>
                <w:b w:val="0"/>
                <w:bCs/>
                <w:color w:val="auto"/>
                <w:kern w:val="0"/>
                <w:sz w:val="21"/>
                <w:szCs w:val="21"/>
                <w:highlight w:val="none"/>
                <w:lang w:val="en-US" w:eastAsia="zh-CN"/>
              </w:rPr>
            </w:pPr>
            <w:r>
              <w:rPr>
                <w:rFonts w:hint="eastAsia" w:ascii="方正仿宋_GBK" w:hAnsi="方正仿宋_GBK" w:eastAsia="方正仿宋_GBK" w:cs="方正仿宋_GBK"/>
                <w:b w:val="0"/>
                <w:bCs/>
                <w:color w:val="auto"/>
                <w:kern w:val="0"/>
                <w:sz w:val="21"/>
                <w:szCs w:val="21"/>
                <w:highlight w:val="none"/>
                <w:lang w:val="en-US" w:eastAsia="zh-CN"/>
              </w:rPr>
              <w:t>职业卫生与工装检测耗材采购</w:t>
            </w:r>
          </w:p>
        </w:tc>
        <w:tc>
          <w:tcPr>
            <w:tcW w:w="626" w:type="pct"/>
            <w:noWrap w:val="0"/>
            <w:vAlign w:val="center"/>
          </w:tcPr>
          <w:p w14:paraId="08F92063">
            <w:pPr>
              <w:widowControl/>
              <w:spacing w:line="0" w:lineRule="atLeast"/>
              <w:jc w:val="center"/>
              <w:textAlignment w:val="center"/>
              <w:rPr>
                <w:rFonts w:hint="eastAsia" w:ascii="方正仿宋_GBK" w:hAnsi="方正仿宋_GBK" w:eastAsia="方正仿宋_GBK" w:cs="方正仿宋_GBK"/>
                <w:b w:val="0"/>
                <w:bCs/>
                <w:color w:val="auto"/>
                <w:kern w:val="0"/>
                <w:sz w:val="21"/>
                <w:szCs w:val="21"/>
                <w:highlight w:val="none"/>
                <w:lang w:val="en-US" w:eastAsia="zh-CN"/>
              </w:rPr>
            </w:pPr>
            <w:r>
              <w:rPr>
                <w:rFonts w:hint="eastAsia" w:ascii="方正仿宋_GBK" w:hAnsi="方正仿宋_GBK" w:eastAsia="方正仿宋_GBK" w:cs="方正仿宋_GBK"/>
                <w:b w:val="0"/>
                <w:bCs/>
                <w:color w:val="auto"/>
                <w:kern w:val="0"/>
                <w:sz w:val="21"/>
                <w:szCs w:val="21"/>
                <w:highlight w:val="none"/>
                <w:lang w:val="en-US" w:eastAsia="zh-CN"/>
              </w:rPr>
              <w:t>YTZB20250103KJ职业卫生与工装检测耗材采购</w:t>
            </w:r>
          </w:p>
        </w:tc>
        <w:tc>
          <w:tcPr>
            <w:tcW w:w="536" w:type="pct"/>
            <w:noWrap w:val="0"/>
            <w:vAlign w:val="center"/>
          </w:tcPr>
          <w:p w14:paraId="7F046866">
            <w:pPr>
              <w:widowControl/>
              <w:spacing w:line="0" w:lineRule="atLeast"/>
              <w:jc w:val="center"/>
              <w:textAlignment w:val="center"/>
              <w:rPr>
                <w:rFonts w:hint="eastAsia" w:ascii="方正仿宋_GBK" w:hAnsi="方正仿宋_GBK" w:eastAsia="方正仿宋_GBK" w:cs="方正仿宋_GBK"/>
                <w:b w:val="0"/>
                <w:bCs/>
                <w:color w:val="auto"/>
                <w:kern w:val="0"/>
                <w:sz w:val="21"/>
                <w:szCs w:val="21"/>
                <w:highlight w:val="none"/>
                <w:lang w:val="en-US" w:eastAsia="zh-CN"/>
              </w:rPr>
            </w:pPr>
            <w:r>
              <w:rPr>
                <w:rFonts w:hint="eastAsia" w:ascii="方正仿宋_GBK" w:hAnsi="方正仿宋_GBK" w:eastAsia="方正仿宋_GBK" w:cs="方正仿宋_GBK"/>
                <w:b w:val="0"/>
                <w:bCs/>
                <w:color w:val="auto"/>
                <w:kern w:val="0"/>
                <w:sz w:val="21"/>
                <w:szCs w:val="21"/>
                <w:highlight w:val="none"/>
                <w:lang w:val="en-US" w:eastAsia="zh-CN"/>
              </w:rPr>
              <w:t>自合同签订之日起两年</w:t>
            </w:r>
          </w:p>
        </w:tc>
        <w:tc>
          <w:tcPr>
            <w:tcW w:w="364" w:type="pct"/>
            <w:shd w:val="clear" w:color="auto" w:fill="auto"/>
            <w:noWrap w:val="0"/>
            <w:vAlign w:val="center"/>
          </w:tcPr>
          <w:p w14:paraId="17EEF113">
            <w:pPr>
              <w:widowControl/>
              <w:spacing w:line="0" w:lineRule="atLeast"/>
              <w:jc w:val="center"/>
              <w:textAlignment w:val="center"/>
              <w:rPr>
                <w:rFonts w:hint="eastAsia" w:ascii="方正仿宋_GBK" w:hAnsi="方正仿宋_GBK" w:eastAsia="方正仿宋_GBK" w:cs="方正仿宋_GBK"/>
                <w:b w:val="0"/>
                <w:bCs/>
                <w:color w:val="auto"/>
                <w:kern w:val="0"/>
                <w:sz w:val="21"/>
                <w:szCs w:val="21"/>
                <w:highlight w:val="none"/>
                <w:lang w:val="en-US" w:eastAsia="zh-CN"/>
              </w:rPr>
            </w:pPr>
            <w:r>
              <w:rPr>
                <w:rFonts w:hint="eastAsia" w:ascii="方正仿宋_GBK" w:hAnsi="方正仿宋_GBK" w:eastAsia="方正仿宋_GBK" w:cs="方正仿宋_GBK"/>
                <w:b w:val="0"/>
                <w:bCs/>
                <w:color w:val="auto"/>
                <w:kern w:val="0"/>
                <w:sz w:val="21"/>
                <w:szCs w:val="21"/>
                <w:highlight w:val="none"/>
                <w:lang w:val="en-US" w:eastAsia="zh-CN"/>
              </w:rPr>
              <w:t>73.45</w:t>
            </w:r>
          </w:p>
        </w:tc>
        <w:tc>
          <w:tcPr>
            <w:tcW w:w="391" w:type="pct"/>
            <w:noWrap w:val="0"/>
            <w:vAlign w:val="center"/>
          </w:tcPr>
          <w:p w14:paraId="1117A906">
            <w:pPr>
              <w:widowControl/>
              <w:spacing w:line="0" w:lineRule="atLeast"/>
              <w:jc w:val="center"/>
              <w:textAlignment w:val="center"/>
              <w:rPr>
                <w:rFonts w:hint="default" w:ascii="方正仿宋_GBK" w:hAnsi="方正仿宋_GBK" w:eastAsia="方正仿宋_GBK" w:cs="方正仿宋_GBK"/>
                <w:b w:val="0"/>
                <w:bCs/>
                <w:color w:val="auto"/>
                <w:kern w:val="0"/>
                <w:sz w:val="21"/>
                <w:szCs w:val="21"/>
                <w:highlight w:val="none"/>
                <w:lang w:val="en-US" w:eastAsia="zh-CN"/>
              </w:rPr>
            </w:pPr>
            <w:r>
              <w:rPr>
                <w:rFonts w:hint="eastAsia" w:ascii="方正仿宋_GBK" w:hAnsi="方正仿宋_GBK" w:eastAsia="方正仿宋_GBK" w:cs="方正仿宋_GBK"/>
                <w:b w:val="0"/>
                <w:bCs/>
                <w:color w:val="auto"/>
                <w:kern w:val="0"/>
                <w:sz w:val="21"/>
                <w:szCs w:val="21"/>
                <w:highlight w:val="none"/>
                <w:lang w:val="en-US" w:eastAsia="zh-CN"/>
              </w:rPr>
              <w:t>13200</w:t>
            </w:r>
          </w:p>
        </w:tc>
        <w:tc>
          <w:tcPr>
            <w:tcW w:w="1676" w:type="pct"/>
            <w:noWrap w:val="0"/>
            <w:vAlign w:val="center"/>
          </w:tcPr>
          <w:p w14:paraId="6091A66E">
            <w:pPr>
              <w:rPr>
                <w:rFonts w:hint="eastAsia" w:ascii="方正仿宋_GBK" w:hAnsi="方正仿宋_GBK" w:eastAsia="方正仿宋_GBK" w:cs="方正仿宋_GBK"/>
                <w:color w:val="auto"/>
                <w:kern w:val="2"/>
                <w:sz w:val="21"/>
                <w:szCs w:val="21"/>
                <w:highlight w:val="none"/>
                <w:lang w:val="en-US" w:eastAsia="zh-CN" w:bidi="ar-SA"/>
              </w:rPr>
            </w:pPr>
            <w:r>
              <w:rPr>
                <w:rFonts w:hint="eastAsia" w:ascii="方正仿宋_GBK" w:hAnsi="方正仿宋_GBK" w:eastAsia="方正仿宋_GBK" w:cs="方正仿宋_GBK"/>
                <w:color w:val="auto"/>
                <w:sz w:val="21"/>
                <w:szCs w:val="21"/>
                <w:highlight w:val="none"/>
                <w:lang w:val="en-US" w:eastAsia="zh-CN"/>
              </w:rPr>
              <w:t>提供2022年1月1日至招标公告发布前1日（以合同签订时间为准），耗材销售业绩</w:t>
            </w:r>
            <w:r>
              <w:rPr>
                <w:rFonts w:hint="eastAsia" w:ascii="方正仿宋_GBK" w:hAnsi="方正仿宋_GBK" w:eastAsia="方正仿宋_GBK" w:cs="方正仿宋_GBK"/>
                <w:b w:val="0"/>
                <w:bCs/>
                <w:color w:val="auto"/>
                <w:kern w:val="0"/>
                <w:sz w:val="21"/>
                <w:szCs w:val="21"/>
                <w:highlight w:val="none"/>
                <w:lang w:val="en-US" w:eastAsia="zh-CN"/>
              </w:rPr>
              <w:t>至少1份。</w:t>
            </w:r>
          </w:p>
        </w:tc>
      </w:tr>
      <w:tr w14:paraId="4F6EC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7" w:hRule="atLeast"/>
          <w:jc w:val="center"/>
        </w:trPr>
        <w:tc>
          <w:tcPr>
            <w:tcW w:w="216" w:type="pct"/>
            <w:noWrap w:val="0"/>
            <w:tcMar>
              <w:top w:w="0" w:type="dxa"/>
              <w:left w:w="108" w:type="dxa"/>
              <w:bottom w:w="0" w:type="dxa"/>
              <w:right w:w="108" w:type="dxa"/>
            </w:tcMar>
            <w:vAlign w:val="center"/>
          </w:tcPr>
          <w:p w14:paraId="01BDFBA4">
            <w:pPr>
              <w:widowControl/>
              <w:spacing w:line="0" w:lineRule="atLeast"/>
              <w:jc w:val="center"/>
              <w:textAlignment w:val="center"/>
              <w:rPr>
                <w:rFonts w:hint="eastAsia" w:ascii="方正仿宋_GBK" w:hAnsi="方正仿宋_GBK" w:eastAsia="方正仿宋_GBK" w:cs="方正仿宋_GBK"/>
                <w:b w:val="0"/>
                <w:bCs/>
                <w:color w:val="auto"/>
                <w:kern w:val="0"/>
                <w:sz w:val="21"/>
                <w:szCs w:val="21"/>
                <w:highlight w:val="none"/>
                <w:lang w:val="en-US" w:eastAsia="zh-CN"/>
              </w:rPr>
            </w:pPr>
            <w:r>
              <w:rPr>
                <w:rFonts w:hint="eastAsia" w:ascii="方正仿宋_GBK" w:hAnsi="方正仿宋_GBK" w:eastAsia="方正仿宋_GBK" w:cs="方正仿宋_GBK"/>
                <w:b w:val="0"/>
                <w:bCs/>
                <w:color w:val="auto"/>
                <w:kern w:val="0"/>
                <w:sz w:val="21"/>
                <w:szCs w:val="21"/>
                <w:highlight w:val="none"/>
                <w:lang w:val="en-US" w:eastAsia="zh-CN"/>
              </w:rPr>
              <w:t>4</w:t>
            </w:r>
          </w:p>
        </w:tc>
        <w:tc>
          <w:tcPr>
            <w:tcW w:w="742" w:type="pct"/>
            <w:shd w:val="clear" w:color="auto" w:fill="auto"/>
            <w:noWrap w:val="0"/>
            <w:tcMar>
              <w:top w:w="0" w:type="dxa"/>
              <w:left w:w="108" w:type="dxa"/>
              <w:bottom w:w="0" w:type="dxa"/>
              <w:right w:w="108" w:type="dxa"/>
            </w:tcMar>
            <w:vAlign w:val="center"/>
          </w:tcPr>
          <w:p w14:paraId="1B1E7D8A">
            <w:pPr>
              <w:widowControl/>
              <w:spacing w:line="0" w:lineRule="atLeast"/>
              <w:jc w:val="center"/>
              <w:textAlignment w:val="center"/>
              <w:rPr>
                <w:rFonts w:hint="eastAsia" w:ascii="方正仿宋_GBK" w:hAnsi="方正仿宋_GBK" w:eastAsia="方正仿宋_GBK" w:cs="方正仿宋_GBK"/>
                <w:b w:val="0"/>
                <w:bCs/>
                <w:color w:val="auto"/>
                <w:kern w:val="0"/>
                <w:sz w:val="21"/>
                <w:szCs w:val="21"/>
                <w:highlight w:val="none"/>
                <w:lang w:val="en-US" w:eastAsia="zh-CN"/>
              </w:rPr>
            </w:pPr>
            <w:r>
              <w:rPr>
                <w:rFonts w:hint="eastAsia" w:ascii="方正仿宋_GBK" w:hAnsi="方正仿宋_GBK" w:eastAsia="方正仿宋_GBK" w:cs="方正仿宋_GBK"/>
                <w:b w:val="0"/>
                <w:bCs/>
                <w:color w:val="auto"/>
                <w:kern w:val="0"/>
                <w:sz w:val="21"/>
                <w:szCs w:val="21"/>
                <w:highlight w:val="none"/>
                <w:lang w:val="en-US" w:eastAsia="zh-CN"/>
              </w:rPr>
              <w:t>YTZBWZ2025-1004</w:t>
            </w:r>
          </w:p>
        </w:tc>
        <w:tc>
          <w:tcPr>
            <w:tcW w:w="444" w:type="pct"/>
            <w:shd w:val="clear" w:color="auto" w:fill="auto"/>
            <w:noWrap w:val="0"/>
            <w:tcMar>
              <w:top w:w="0" w:type="dxa"/>
              <w:left w:w="108" w:type="dxa"/>
              <w:bottom w:w="0" w:type="dxa"/>
              <w:right w:w="108" w:type="dxa"/>
            </w:tcMar>
            <w:vAlign w:val="center"/>
          </w:tcPr>
          <w:p w14:paraId="23810DF8">
            <w:pPr>
              <w:widowControl/>
              <w:spacing w:line="0" w:lineRule="atLeast"/>
              <w:jc w:val="center"/>
              <w:textAlignment w:val="center"/>
              <w:rPr>
                <w:rFonts w:hint="eastAsia" w:ascii="方正仿宋_GBK" w:hAnsi="方正仿宋_GBK" w:eastAsia="方正仿宋_GBK" w:cs="方正仿宋_GBK"/>
                <w:b w:val="0"/>
                <w:bCs/>
                <w:color w:val="auto"/>
                <w:kern w:val="0"/>
                <w:sz w:val="21"/>
                <w:szCs w:val="21"/>
                <w:highlight w:val="none"/>
                <w:lang w:val="en-US" w:eastAsia="zh-CN"/>
              </w:rPr>
            </w:pPr>
            <w:r>
              <w:rPr>
                <w:rFonts w:hint="eastAsia" w:ascii="方正仿宋_GBK" w:hAnsi="方正仿宋_GBK" w:eastAsia="方正仿宋_GBK" w:cs="方正仿宋_GBK"/>
                <w:b w:val="0"/>
                <w:bCs/>
                <w:color w:val="auto"/>
                <w:kern w:val="0"/>
                <w:sz w:val="21"/>
                <w:szCs w:val="21"/>
                <w:highlight w:val="none"/>
                <w:lang w:val="en-US" w:eastAsia="zh-CN"/>
              </w:rPr>
              <w:t>材料采购</w:t>
            </w:r>
          </w:p>
        </w:tc>
        <w:tc>
          <w:tcPr>
            <w:tcW w:w="626" w:type="pct"/>
            <w:noWrap w:val="0"/>
            <w:vAlign w:val="center"/>
          </w:tcPr>
          <w:p w14:paraId="3B3C33D4">
            <w:pPr>
              <w:widowControl/>
              <w:spacing w:line="0" w:lineRule="atLeast"/>
              <w:jc w:val="center"/>
              <w:textAlignment w:val="center"/>
              <w:rPr>
                <w:rFonts w:hint="eastAsia" w:ascii="方正仿宋_GBK" w:hAnsi="方正仿宋_GBK" w:eastAsia="方正仿宋_GBK" w:cs="方正仿宋_GBK"/>
                <w:b w:val="0"/>
                <w:bCs/>
                <w:color w:val="auto"/>
                <w:kern w:val="0"/>
                <w:sz w:val="21"/>
                <w:szCs w:val="21"/>
                <w:highlight w:val="none"/>
                <w:lang w:val="en-US" w:eastAsia="zh-CN"/>
              </w:rPr>
            </w:pPr>
            <w:r>
              <w:rPr>
                <w:rFonts w:hint="eastAsia" w:ascii="方正仿宋_GBK" w:hAnsi="方正仿宋_GBK" w:eastAsia="方正仿宋_GBK" w:cs="方正仿宋_GBK"/>
                <w:b w:val="0"/>
                <w:bCs/>
                <w:color w:val="auto"/>
                <w:kern w:val="0"/>
                <w:sz w:val="21"/>
                <w:szCs w:val="21"/>
                <w:highlight w:val="none"/>
                <w:lang w:val="en-US" w:eastAsia="zh-CN"/>
              </w:rPr>
              <w:t>YTZB20250104KJ材料采购</w:t>
            </w:r>
          </w:p>
        </w:tc>
        <w:tc>
          <w:tcPr>
            <w:tcW w:w="536" w:type="pct"/>
            <w:noWrap w:val="0"/>
            <w:vAlign w:val="center"/>
          </w:tcPr>
          <w:p w14:paraId="39D7C5A3">
            <w:pPr>
              <w:widowControl/>
              <w:spacing w:line="0" w:lineRule="atLeast"/>
              <w:jc w:val="center"/>
              <w:textAlignment w:val="center"/>
              <w:rPr>
                <w:rFonts w:hint="eastAsia" w:ascii="方正仿宋_GBK" w:hAnsi="方正仿宋_GBK" w:eastAsia="方正仿宋_GBK" w:cs="方正仿宋_GBK"/>
                <w:b w:val="0"/>
                <w:bCs/>
                <w:color w:val="auto"/>
                <w:kern w:val="0"/>
                <w:sz w:val="21"/>
                <w:szCs w:val="21"/>
                <w:highlight w:val="none"/>
                <w:lang w:val="en-US" w:eastAsia="zh-CN"/>
              </w:rPr>
            </w:pPr>
            <w:r>
              <w:rPr>
                <w:rFonts w:hint="eastAsia" w:ascii="方正仿宋_GBK" w:hAnsi="方正仿宋_GBK" w:eastAsia="方正仿宋_GBK" w:cs="方正仿宋_GBK"/>
                <w:b w:val="0"/>
                <w:bCs/>
                <w:color w:val="auto"/>
                <w:kern w:val="0"/>
                <w:sz w:val="21"/>
                <w:szCs w:val="21"/>
                <w:highlight w:val="none"/>
                <w:lang w:val="en-US" w:eastAsia="zh-CN"/>
              </w:rPr>
              <w:t>自合同签订之日起一年</w:t>
            </w:r>
          </w:p>
        </w:tc>
        <w:tc>
          <w:tcPr>
            <w:tcW w:w="364" w:type="pct"/>
            <w:noWrap w:val="0"/>
            <w:vAlign w:val="center"/>
          </w:tcPr>
          <w:p w14:paraId="2DD33365">
            <w:pPr>
              <w:widowControl/>
              <w:spacing w:line="0" w:lineRule="atLeast"/>
              <w:jc w:val="center"/>
              <w:textAlignment w:val="center"/>
              <w:rPr>
                <w:rFonts w:hint="eastAsia" w:ascii="方正仿宋_GBK" w:hAnsi="方正仿宋_GBK" w:eastAsia="方正仿宋_GBK" w:cs="方正仿宋_GBK"/>
                <w:b w:val="0"/>
                <w:bCs/>
                <w:color w:val="auto"/>
                <w:kern w:val="0"/>
                <w:sz w:val="21"/>
                <w:szCs w:val="21"/>
                <w:highlight w:val="none"/>
                <w:lang w:val="en-US" w:eastAsia="zh-CN"/>
              </w:rPr>
            </w:pPr>
            <w:r>
              <w:rPr>
                <w:rFonts w:hint="eastAsia" w:ascii="方正仿宋_GBK" w:hAnsi="方正仿宋_GBK" w:eastAsia="方正仿宋_GBK" w:cs="方正仿宋_GBK"/>
                <w:b w:val="0"/>
                <w:bCs/>
                <w:color w:val="auto"/>
                <w:kern w:val="0"/>
                <w:sz w:val="21"/>
                <w:szCs w:val="21"/>
                <w:highlight w:val="none"/>
                <w:lang w:val="en-US" w:eastAsia="zh-CN"/>
              </w:rPr>
              <w:t>32</w:t>
            </w:r>
          </w:p>
        </w:tc>
        <w:tc>
          <w:tcPr>
            <w:tcW w:w="391" w:type="pct"/>
            <w:noWrap w:val="0"/>
            <w:vAlign w:val="center"/>
          </w:tcPr>
          <w:p w14:paraId="5156F9A7">
            <w:pPr>
              <w:widowControl/>
              <w:spacing w:line="0" w:lineRule="atLeast"/>
              <w:jc w:val="center"/>
              <w:textAlignment w:val="center"/>
              <w:rPr>
                <w:rFonts w:hint="eastAsia" w:ascii="方正仿宋_GBK" w:hAnsi="方正仿宋_GBK" w:eastAsia="方正仿宋_GBK" w:cs="方正仿宋_GBK"/>
                <w:b w:val="0"/>
                <w:bCs/>
                <w:color w:val="auto"/>
                <w:kern w:val="0"/>
                <w:sz w:val="21"/>
                <w:szCs w:val="21"/>
                <w:highlight w:val="none"/>
                <w:lang w:val="en-US" w:eastAsia="zh-CN"/>
              </w:rPr>
            </w:pPr>
            <w:r>
              <w:rPr>
                <w:rFonts w:hint="eastAsia" w:ascii="方正仿宋_GBK" w:hAnsi="方正仿宋_GBK" w:eastAsia="方正仿宋_GBK" w:cs="方正仿宋_GBK"/>
                <w:b w:val="0"/>
                <w:bCs/>
                <w:color w:val="auto"/>
                <w:kern w:val="0"/>
                <w:sz w:val="21"/>
                <w:szCs w:val="21"/>
                <w:highlight w:val="none"/>
                <w:lang w:val="en-US" w:eastAsia="zh-CN"/>
              </w:rPr>
              <w:t>5800</w:t>
            </w:r>
          </w:p>
        </w:tc>
        <w:tc>
          <w:tcPr>
            <w:tcW w:w="1676" w:type="pct"/>
            <w:noWrap w:val="0"/>
            <w:vAlign w:val="center"/>
          </w:tcPr>
          <w:p w14:paraId="74E68972">
            <w:pPr>
              <w:widowControl/>
              <w:spacing w:line="0" w:lineRule="atLeast"/>
              <w:jc w:val="left"/>
              <w:textAlignment w:val="center"/>
              <w:rPr>
                <w:rFonts w:hint="eastAsia" w:ascii="方正仿宋_GBK" w:hAnsi="方正仿宋_GBK" w:eastAsia="方正仿宋_GBK" w:cs="方正仿宋_GBK"/>
                <w:b w:val="0"/>
                <w:bCs/>
                <w:color w:val="auto"/>
                <w:kern w:val="0"/>
                <w:sz w:val="21"/>
                <w:szCs w:val="21"/>
                <w:highlight w:val="none"/>
                <w:lang w:val="en-US" w:eastAsia="zh-CN"/>
              </w:rPr>
            </w:pPr>
            <w:r>
              <w:rPr>
                <w:rFonts w:hint="eastAsia" w:ascii="方正仿宋_GBK" w:hAnsi="方正仿宋_GBK" w:eastAsia="方正仿宋_GBK" w:cs="方正仿宋_GBK"/>
                <w:color w:val="auto"/>
                <w:sz w:val="21"/>
                <w:szCs w:val="21"/>
                <w:highlight w:val="none"/>
                <w:lang w:val="en-US" w:eastAsia="zh-CN"/>
              </w:rPr>
              <w:t>提供2022年1月1日至招标公告发布前1日（以合同签订时间为准），耗材销售业绩</w:t>
            </w:r>
            <w:r>
              <w:rPr>
                <w:rFonts w:hint="eastAsia" w:ascii="方正仿宋_GBK" w:hAnsi="方正仿宋_GBK" w:eastAsia="方正仿宋_GBK" w:cs="方正仿宋_GBK"/>
                <w:b w:val="0"/>
                <w:bCs/>
                <w:color w:val="auto"/>
                <w:kern w:val="0"/>
                <w:sz w:val="21"/>
                <w:szCs w:val="21"/>
                <w:highlight w:val="none"/>
                <w:lang w:val="en-US" w:eastAsia="zh-CN"/>
              </w:rPr>
              <w:t>至少1份。</w:t>
            </w:r>
          </w:p>
        </w:tc>
      </w:tr>
      <w:tr w14:paraId="41C4F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7" w:hRule="atLeast"/>
          <w:jc w:val="center"/>
        </w:trPr>
        <w:tc>
          <w:tcPr>
            <w:tcW w:w="216" w:type="pct"/>
            <w:noWrap w:val="0"/>
            <w:tcMar>
              <w:top w:w="0" w:type="dxa"/>
              <w:left w:w="108" w:type="dxa"/>
              <w:bottom w:w="0" w:type="dxa"/>
              <w:right w:w="108" w:type="dxa"/>
            </w:tcMar>
            <w:vAlign w:val="center"/>
          </w:tcPr>
          <w:p w14:paraId="1B6DFB16">
            <w:pPr>
              <w:widowControl/>
              <w:spacing w:line="0" w:lineRule="atLeast"/>
              <w:jc w:val="center"/>
              <w:textAlignment w:val="center"/>
              <w:rPr>
                <w:rFonts w:hint="default" w:ascii="方正仿宋_GBK" w:hAnsi="方正仿宋_GBK" w:eastAsia="方正仿宋_GBK" w:cs="方正仿宋_GBK"/>
                <w:b w:val="0"/>
                <w:bCs/>
                <w:color w:val="auto"/>
                <w:kern w:val="0"/>
                <w:sz w:val="21"/>
                <w:szCs w:val="21"/>
                <w:highlight w:val="none"/>
                <w:lang w:val="en-US" w:eastAsia="zh-CN"/>
              </w:rPr>
            </w:pPr>
            <w:r>
              <w:rPr>
                <w:rFonts w:hint="eastAsia" w:ascii="方正仿宋_GBK" w:hAnsi="方正仿宋_GBK" w:eastAsia="方正仿宋_GBK" w:cs="方正仿宋_GBK"/>
                <w:b w:val="0"/>
                <w:bCs/>
                <w:color w:val="auto"/>
                <w:kern w:val="0"/>
                <w:sz w:val="21"/>
                <w:szCs w:val="21"/>
                <w:highlight w:val="none"/>
                <w:lang w:val="en-US" w:eastAsia="zh-CN"/>
              </w:rPr>
              <w:t>5</w:t>
            </w:r>
          </w:p>
        </w:tc>
        <w:tc>
          <w:tcPr>
            <w:tcW w:w="742" w:type="pct"/>
            <w:shd w:val="clear" w:color="auto" w:fill="auto"/>
            <w:noWrap w:val="0"/>
            <w:tcMar>
              <w:top w:w="0" w:type="dxa"/>
              <w:left w:w="108" w:type="dxa"/>
              <w:bottom w:w="0" w:type="dxa"/>
              <w:right w:w="108" w:type="dxa"/>
            </w:tcMar>
            <w:vAlign w:val="center"/>
          </w:tcPr>
          <w:p w14:paraId="291BAE27">
            <w:pPr>
              <w:widowControl/>
              <w:spacing w:line="0" w:lineRule="atLeast"/>
              <w:jc w:val="center"/>
              <w:textAlignment w:val="center"/>
              <w:rPr>
                <w:rFonts w:hint="eastAsia" w:ascii="方正仿宋_GBK" w:hAnsi="方正仿宋_GBK" w:eastAsia="方正仿宋_GBK" w:cs="方正仿宋_GBK"/>
                <w:b w:val="0"/>
                <w:bCs/>
                <w:color w:val="auto"/>
                <w:kern w:val="0"/>
                <w:sz w:val="21"/>
                <w:szCs w:val="21"/>
                <w:highlight w:val="none"/>
                <w:lang w:val="en-US" w:eastAsia="zh-CN"/>
              </w:rPr>
            </w:pPr>
            <w:r>
              <w:rPr>
                <w:rFonts w:hint="eastAsia" w:ascii="方正仿宋_GBK" w:hAnsi="方正仿宋_GBK" w:eastAsia="方正仿宋_GBK" w:cs="方正仿宋_GBK"/>
                <w:b w:val="0"/>
                <w:bCs/>
                <w:color w:val="auto"/>
                <w:kern w:val="0"/>
                <w:sz w:val="21"/>
                <w:szCs w:val="21"/>
                <w:highlight w:val="none"/>
                <w:lang w:val="en-US" w:eastAsia="zh-CN"/>
              </w:rPr>
              <w:t>YTZBWZ2025-1005</w:t>
            </w:r>
          </w:p>
        </w:tc>
        <w:tc>
          <w:tcPr>
            <w:tcW w:w="444" w:type="pct"/>
            <w:shd w:val="clear" w:color="auto" w:fill="auto"/>
            <w:noWrap w:val="0"/>
            <w:tcMar>
              <w:top w:w="0" w:type="dxa"/>
              <w:left w:w="108" w:type="dxa"/>
              <w:bottom w:w="0" w:type="dxa"/>
              <w:right w:w="108" w:type="dxa"/>
            </w:tcMar>
            <w:vAlign w:val="center"/>
          </w:tcPr>
          <w:p w14:paraId="32F5081A">
            <w:pPr>
              <w:widowControl/>
              <w:spacing w:line="0" w:lineRule="atLeast"/>
              <w:jc w:val="center"/>
              <w:textAlignment w:val="center"/>
              <w:rPr>
                <w:rFonts w:hint="eastAsia" w:ascii="方正仿宋_GBK" w:hAnsi="方正仿宋_GBK" w:eastAsia="方正仿宋_GBK" w:cs="方正仿宋_GBK"/>
                <w:b w:val="0"/>
                <w:bCs/>
                <w:color w:val="auto"/>
                <w:kern w:val="0"/>
                <w:sz w:val="21"/>
                <w:szCs w:val="21"/>
                <w:highlight w:val="none"/>
                <w:lang w:val="en-US" w:eastAsia="zh-CN"/>
              </w:rPr>
            </w:pPr>
            <w:r>
              <w:rPr>
                <w:rFonts w:hint="eastAsia" w:ascii="方正仿宋_GBK" w:hAnsi="方正仿宋_GBK" w:eastAsia="方正仿宋_GBK" w:cs="方正仿宋_GBK"/>
                <w:b w:val="0"/>
                <w:bCs/>
                <w:color w:val="auto"/>
                <w:kern w:val="0"/>
                <w:sz w:val="21"/>
                <w:szCs w:val="21"/>
                <w:highlight w:val="none"/>
                <w:lang w:val="en-US" w:eastAsia="zh-CN"/>
              </w:rPr>
              <w:t>检测实验耗材等材料采购</w:t>
            </w:r>
          </w:p>
        </w:tc>
        <w:tc>
          <w:tcPr>
            <w:tcW w:w="626" w:type="pct"/>
            <w:noWrap w:val="0"/>
            <w:vAlign w:val="center"/>
          </w:tcPr>
          <w:p w14:paraId="097C14D9">
            <w:pPr>
              <w:widowControl/>
              <w:spacing w:line="0" w:lineRule="atLeast"/>
              <w:jc w:val="center"/>
              <w:textAlignment w:val="center"/>
              <w:rPr>
                <w:rFonts w:hint="eastAsia" w:ascii="方正仿宋_GBK" w:hAnsi="方正仿宋_GBK" w:eastAsia="方正仿宋_GBK" w:cs="方正仿宋_GBK"/>
                <w:b w:val="0"/>
                <w:bCs/>
                <w:color w:val="auto"/>
                <w:kern w:val="0"/>
                <w:sz w:val="21"/>
                <w:szCs w:val="21"/>
                <w:highlight w:val="none"/>
                <w:lang w:val="en-US" w:eastAsia="zh-CN"/>
              </w:rPr>
            </w:pPr>
            <w:r>
              <w:rPr>
                <w:rFonts w:hint="eastAsia" w:ascii="方正仿宋_GBK" w:hAnsi="方正仿宋_GBK" w:eastAsia="方正仿宋_GBK" w:cs="方正仿宋_GBK"/>
                <w:b w:val="0"/>
                <w:bCs/>
                <w:color w:val="auto"/>
                <w:kern w:val="0"/>
                <w:sz w:val="21"/>
                <w:szCs w:val="21"/>
                <w:highlight w:val="none"/>
                <w:lang w:val="en-US" w:eastAsia="zh-CN"/>
              </w:rPr>
              <w:t>YTZB20250105KJ检测实验耗材等材料采购</w:t>
            </w:r>
          </w:p>
        </w:tc>
        <w:tc>
          <w:tcPr>
            <w:tcW w:w="536" w:type="pct"/>
            <w:noWrap w:val="0"/>
            <w:vAlign w:val="center"/>
          </w:tcPr>
          <w:p w14:paraId="495571D3">
            <w:pPr>
              <w:widowControl/>
              <w:spacing w:line="0" w:lineRule="atLeast"/>
              <w:jc w:val="center"/>
              <w:textAlignment w:val="center"/>
              <w:rPr>
                <w:rFonts w:hint="eastAsia" w:ascii="方正仿宋_GBK" w:hAnsi="方正仿宋_GBK" w:eastAsia="方正仿宋_GBK" w:cs="方正仿宋_GBK"/>
                <w:b w:val="0"/>
                <w:bCs/>
                <w:color w:val="auto"/>
                <w:kern w:val="0"/>
                <w:sz w:val="21"/>
                <w:szCs w:val="21"/>
                <w:highlight w:val="none"/>
                <w:lang w:val="en-US" w:eastAsia="zh-CN"/>
              </w:rPr>
            </w:pPr>
            <w:r>
              <w:rPr>
                <w:rFonts w:hint="eastAsia" w:ascii="方正仿宋_GBK" w:hAnsi="方正仿宋_GBK" w:eastAsia="方正仿宋_GBK" w:cs="方正仿宋_GBK"/>
                <w:b w:val="0"/>
                <w:bCs/>
                <w:color w:val="auto"/>
                <w:kern w:val="0"/>
                <w:sz w:val="21"/>
                <w:szCs w:val="21"/>
                <w:highlight w:val="none"/>
                <w:lang w:val="en-US" w:eastAsia="zh-CN"/>
              </w:rPr>
              <w:t>自合同签订之日起一年</w:t>
            </w:r>
          </w:p>
        </w:tc>
        <w:tc>
          <w:tcPr>
            <w:tcW w:w="364" w:type="pct"/>
            <w:noWrap w:val="0"/>
            <w:vAlign w:val="center"/>
          </w:tcPr>
          <w:p w14:paraId="496A2070">
            <w:pPr>
              <w:widowControl/>
              <w:spacing w:line="0" w:lineRule="atLeast"/>
              <w:jc w:val="center"/>
              <w:textAlignment w:val="center"/>
              <w:rPr>
                <w:rFonts w:hint="eastAsia" w:ascii="方正仿宋_GBK" w:hAnsi="方正仿宋_GBK" w:eastAsia="方正仿宋_GBK" w:cs="方正仿宋_GBK"/>
                <w:b w:val="0"/>
                <w:bCs/>
                <w:color w:val="auto"/>
                <w:kern w:val="0"/>
                <w:sz w:val="21"/>
                <w:szCs w:val="21"/>
                <w:highlight w:val="none"/>
                <w:lang w:val="en-US" w:eastAsia="zh-CN"/>
              </w:rPr>
            </w:pPr>
            <w:r>
              <w:rPr>
                <w:rFonts w:hint="eastAsia" w:ascii="方正仿宋_GBK" w:hAnsi="方正仿宋_GBK" w:eastAsia="方正仿宋_GBK" w:cs="方正仿宋_GBK"/>
                <w:b w:val="0"/>
                <w:bCs/>
                <w:color w:val="auto"/>
                <w:kern w:val="0"/>
                <w:sz w:val="21"/>
                <w:szCs w:val="21"/>
                <w:highlight w:val="none"/>
                <w:lang w:val="en-US" w:eastAsia="zh-CN"/>
              </w:rPr>
              <w:t>150</w:t>
            </w:r>
          </w:p>
        </w:tc>
        <w:tc>
          <w:tcPr>
            <w:tcW w:w="391" w:type="pct"/>
            <w:noWrap w:val="0"/>
            <w:vAlign w:val="center"/>
          </w:tcPr>
          <w:p w14:paraId="34884B55">
            <w:pPr>
              <w:widowControl/>
              <w:spacing w:line="0" w:lineRule="atLeast"/>
              <w:jc w:val="center"/>
              <w:textAlignment w:val="center"/>
              <w:rPr>
                <w:rFonts w:hint="eastAsia" w:ascii="方正仿宋_GBK" w:hAnsi="方正仿宋_GBK" w:eastAsia="方正仿宋_GBK" w:cs="方正仿宋_GBK"/>
                <w:b w:val="0"/>
                <w:bCs/>
                <w:color w:val="auto"/>
                <w:kern w:val="0"/>
                <w:sz w:val="21"/>
                <w:szCs w:val="21"/>
                <w:highlight w:val="none"/>
                <w:lang w:val="en-US" w:eastAsia="zh-CN"/>
              </w:rPr>
            </w:pPr>
            <w:r>
              <w:rPr>
                <w:rFonts w:hint="eastAsia" w:ascii="方正仿宋_GBK" w:hAnsi="方正仿宋_GBK" w:eastAsia="方正仿宋_GBK" w:cs="方正仿宋_GBK"/>
                <w:b w:val="0"/>
                <w:bCs/>
                <w:color w:val="auto"/>
                <w:kern w:val="0"/>
                <w:sz w:val="21"/>
                <w:szCs w:val="21"/>
                <w:highlight w:val="none"/>
                <w:lang w:val="en-US" w:eastAsia="zh-CN"/>
              </w:rPr>
              <w:t>27000</w:t>
            </w:r>
          </w:p>
        </w:tc>
        <w:tc>
          <w:tcPr>
            <w:tcW w:w="1676" w:type="pct"/>
            <w:noWrap w:val="0"/>
            <w:vAlign w:val="center"/>
          </w:tcPr>
          <w:p w14:paraId="0401CF52">
            <w:pPr>
              <w:widowControl/>
              <w:spacing w:line="0" w:lineRule="atLeast"/>
              <w:jc w:val="left"/>
              <w:textAlignment w:val="center"/>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lang w:val="en-US" w:eastAsia="zh-CN"/>
              </w:rPr>
              <w:t>提供2022年1月1日至招标公告发布前1日（以合同签订时间为准），耗材销售业绩</w:t>
            </w:r>
            <w:r>
              <w:rPr>
                <w:rFonts w:hint="eastAsia" w:ascii="方正仿宋_GBK" w:hAnsi="方正仿宋_GBK" w:eastAsia="方正仿宋_GBK" w:cs="方正仿宋_GBK"/>
                <w:b w:val="0"/>
                <w:bCs/>
                <w:color w:val="auto"/>
                <w:kern w:val="0"/>
                <w:sz w:val="21"/>
                <w:szCs w:val="21"/>
                <w:highlight w:val="none"/>
                <w:lang w:val="en-US" w:eastAsia="zh-CN"/>
              </w:rPr>
              <w:t>至少1份。</w:t>
            </w:r>
          </w:p>
        </w:tc>
      </w:tr>
      <w:tr w14:paraId="4DD84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7" w:hRule="atLeast"/>
          <w:jc w:val="center"/>
        </w:trPr>
        <w:tc>
          <w:tcPr>
            <w:tcW w:w="216" w:type="pct"/>
            <w:noWrap w:val="0"/>
            <w:tcMar>
              <w:top w:w="0" w:type="dxa"/>
              <w:left w:w="108" w:type="dxa"/>
              <w:bottom w:w="0" w:type="dxa"/>
              <w:right w:w="108" w:type="dxa"/>
            </w:tcMar>
            <w:vAlign w:val="center"/>
          </w:tcPr>
          <w:p w14:paraId="615316FF">
            <w:pPr>
              <w:widowControl/>
              <w:spacing w:line="0" w:lineRule="atLeast"/>
              <w:jc w:val="center"/>
              <w:textAlignment w:val="center"/>
              <w:rPr>
                <w:rFonts w:hint="default" w:ascii="方正仿宋_GBK" w:hAnsi="方正仿宋_GBK" w:eastAsia="方正仿宋_GBK" w:cs="方正仿宋_GBK"/>
                <w:b w:val="0"/>
                <w:bCs/>
                <w:color w:val="auto"/>
                <w:kern w:val="0"/>
                <w:sz w:val="21"/>
                <w:szCs w:val="21"/>
                <w:highlight w:val="none"/>
                <w:lang w:val="en-US" w:eastAsia="zh-CN"/>
              </w:rPr>
            </w:pPr>
            <w:r>
              <w:rPr>
                <w:rFonts w:hint="eastAsia" w:ascii="方正仿宋_GBK" w:hAnsi="方正仿宋_GBK" w:eastAsia="方正仿宋_GBK" w:cs="方正仿宋_GBK"/>
                <w:b w:val="0"/>
                <w:bCs/>
                <w:color w:val="auto"/>
                <w:kern w:val="0"/>
                <w:sz w:val="21"/>
                <w:szCs w:val="21"/>
                <w:highlight w:val="none"/>
                <w:lang w:val="en-US" w:eastAsia="zh-CN"/>
              </w:rPr>
              <w:t>6</w:t>
            </w:r>
          </w:p>
        </w:tc>
        <w:tc>
          <w:tcPr>
            <w:tcW w:w="742" w:type="pct"/>
            <w:shd w:val="clear" w:color="auto" w:fill="auto"/>
            <w:noWrap w:val="0"/>
            <w:tcMar>
              <w:top w:w="0" w:type="dxa"/>
              <w:left w:w="108" w:type="dxa"/>
              <w:bottom w:w="0" w:type="dxa"/>
              <w:right w:w="108" w:type="dxa"/>
            </w:tcMar>
            <w:vAlign w:val="center"/>
          </w:tcPr>
          <w:p w14:paraId="18F66CAD">
            <w:pPr>
              <w:widowControl/>
              <w:spacing w:line="0" w:lineRule="atLeast"/>
              <w:jc w:val="center"/>
              <w:textAlignment w:val="center"/>
              <w:rPr>
                <w:rFonts w:hint="eastAsia" w:ascii="方正仿宋_GBK" w:hAnsi="方正仿宋_GBK" w:eastAsia="方正仿宋_GBK" w:cs="方正仿宋_GBK"/>
                <w:b w:val="0"/>
                <w:bCs/>
                <w:color w:val="auto"/>
                <w:kern w:val="0"/>
                <w:sz w:val="21"/>
                <w:szCs w:val="21"/>
                <w:highlight w:val="none"/>
                <w:lang w:val="en-US" w:eastAsia="zh-CN"/>
              </w:rPr>
            </w:pPr>
            <w:r>
              <w:rPr>
                <w:rFonts w:hint="eastAsia" w:ascii="方正仿宋_GBK" w:hAnsi="方正仿宋_GBK" w:eastAsia="方正仿宋_GBK" w:cs="方正仿宋_GBK"/>
                <w:b w:val="0"/>
                <w:bCs/>
                <w:color w:val="auto"/>
                <w:kern w:val="0"/>
                <w:sz w:val="21"/>
                <w:szCs w:val="21"/>
                <w:highlight w:val="none"/>
                <w:lang w:val="en-US" w:eastAsia="zh-CN"/>
              </w:rPr>
              <w:t>YTZBWZ2025-1006-GJ</w:t>
            </w:r>
          </w:p>
        </w:tc>
        <w:tc>
          <w:tcPr>
            <w:tcW w:w="444" w:type="pct"/>
            <w:shd w:val="clear" w:color="auto" w:fill="auto"/>
            <w:noWrap w:val="0"/>
            <w:tcMar>
              <w:top w:w="0" w:type="dxa"/>
              <w:left w:w="108" w:type="dxa"/>
              <w:bottom w:w="0" w:type="dxa"/>
              <w:right w:w="108" w:type="dxa"/>
            </w:tcMar>
            <w:vAlign w:val="center"/>
          </w:tcPr>
          <w:p w14:paraId="115B2435">
            <w:pPr>
              <w:widowControl/>
              <w:spacing w:line="0" w:lineRule="atLeast"/>
              <w:jc w:val="center"/>
              <w:textAlignment w:val="center"/>
              <w:rPr>
                <w:rFonts w:hint="eastAsia" w:ascii="方正仿宋_GBK" w:hAnsi="方正仿宋_GBK" w:eastAsia="方正仿宋_GBK" w:cs="方正仿宋_GBK"/>
                <w:b w:val="0"/>
                <w:bCs/>
                <w:color w:val="auto"/>
                <w:kern w:val="0"/>
                <w:sz w:val="21"/>
                <w:szCs w:val="21"/>
                <w:highlight w:val="none"/>
                <w:lang w:val="en-US" w:eastAsia="zh-CN"/>
              </w:rPr>
            </w:pPr>
            <w:r>
              <w:rPr>
                <w:rFonts w:hint="eastAsia" w:ascii="方正仿宋_GBK" w:hAnsi="方正仿宋_GBK" w:eastAsia="方正仿宋_GBK" w:cs="方正仿宋_GBK"/>
                <w:b w:val="0"/>
                <w:bCs/>
                <w:color w:val="auto"/>
                <w:kern w:val="0"/>
                <w:sz w:val="21"/>
                <w:szCs w:val="21"/>
                <w:highlight w:val="none"/>
                <w:lang w:val="en-US" w:eastAsia="zh-CN"/>
              </w:rPr>
              <w:t>锂电池和BMS采购</w:t>
            </w:r>
          </w:p>
        </w:tc>
        <w:tc>
          <w:tcPr>
            <w:tcW w:w="626" w:type="pct"/>
            <w:noWrap w:val="0"/>
            <w:vAlign w:val="center"/>
          </w:tcPr>
          <w:p w14:paraId="5BBFB9C8">
            <w:pPr>
              <w:widowControl/>
              <w:spacing w:line="0" w:lineRule="atLeast"/>
              <w:jc w:val="center"/>
              <w:textAlignment w:val="center"/>
              <w:rPr>
                <w:rFonts w:hint="eastAsia" w:ascii="方正仿宋_GBK" w:hAnsi="方正仿宋_GBK" w:eastAsia="方正仿宋_GBK" w:cs="方正仿宋_GBK"/>
                <w:b w:val="0"/>
                <w:bCs/>
                <w:color w:val="auto"/>
                <w:kern w:val="0"/>
                <w:sz w:val="21"/>
                <w:szCs w:val="21"/>
                <w:highlight w:val="none"/>
                <w:lang w:val="en-US" w:eastAsia="zh-CN"/>
              </w:rPr>
            </w:pPr>
            <w:r>
              <w:rPr>
                <w:rFonts w:hint="eastAsia" w:ascii="方正仿宋_GBK" w:hAnsi="方正仿宋_GBK" w:eastAsia="方正仿宋_GBK" w:cs="方正仿宋_GBK"/>
                <w:b w:val="0"/>
                <w:bCs/>
                <w:color w:val="auto"/>
                <w:kern w:val="0"/>
                <w:sz w:val="21"/>
                <w:szCs w:val="21"/>
                <w:highlight w:val="none"/>
                <w:lang w:val="en-US" w:eastAsia="zh-CN"/>
              </w:rPr>
              <w:t>YTZB20250106KJ锂电池和BMS采购</w:t>
            </w:r>
          </w:p>
        </w:tc>
        <w:tc>
          <w:tcPr>
            <w:tcW w:w="536" w:type="pct"/>
            <w:noWrap w:val="0"/>
            <w:vAlign w:val="center"/>
          </w:tcPr>
          <w:p w14:paraId="71347DD7">
            <w:pPr>
              <w:widowControl/>
              <w:spacing w:line="0" w:lineRule="atLeast"/>
              <w:jc w:val="center"/>
              <w:textAlignment w:val="center"/>
              <w:rPr>
                <w:rFonts w:hint="eastAsia" w:ascii="方正仿宋_GBK" w:hAnsi="方正仿宋_GBK" w:eastAsia="方正仿宋_GBK" w:cs="方正仿宋_GBK"/>
                <w:b w:val="0"/>
                <w:bCs/>
                <w:color w:val="auto"/>
                <w:kern w:val="0"/>
                <w:sz w:val="21"/>
                <w:szCs w:val="21"/>
                <w:highlight w:val="none"/>
                <w:lang w:val="en-US" w:eastAsia="zh-CN"/>
              </w:rPr>
            </w:pPr>
            <w:r>
              <w:rPr>
                <w:rFonts w:hint="eastAsia" w:ascii="方正仿宋_GBK" w:hAnsi="方正仿宋_GBK" w:eastAsia="方正仿宋_GBK" w:cs="方正仿宋_GBK"/>
                <w:sz w:val="21"/>
                <w:szCs w:val="21"/>
                <w:highlight w:val="none"/>
              </w:rPr>
              <w:t>在合同签订后按甲方需求进行供货</w:t>
            </w:r>
          </w:p>
        </w:tc>
        <w:tc>
          <w:tcPr>
            <w:tcW w:w="364" w:type="pct"/>
            <w:noWrap w:val="0"/>
            <w:vAlign w:val="center"/>
          </w:tcPr>
          <w:p w14:paraId="35D819A2">
            <w:pPr>
              <w:widowControl/>
              <w:spacing w:line="0" w:lineRule="atLeast"/>
              <w:jc w:val="center"/>
              <w:textAlignment w:val="center"/>
              <w:rPr>
                <w:rFonts w:hint="eastAsia" w:ascii="方正仿宋_GBK" w:hAnsi="方正仿宋_GBK" w:eastAsia="方正仿宋_GBK" w:cs="方正仿宋_GBK"/>
                <w:b w:val="0"/>
                <w:bCs/>
                <w:color w:val="auto"/>
                <w:kern w:val="0"/>
                <w:sz w:val="21"/>
                <w:szCs w:val="21"/>
                <w:highlight w:val="none"/>
                <w:lang w:val="en-US" w:eastAsia="zh-CN"/>
              </w:rPr>
            </w:pPr>
            <w:r>
              <w:rPr>
                <w:rFonts w:hint="eastAsia" w:ascii="方正仿宋_GBK" w:hAnsi="方正仿宋_GBK" w:eastAsia="方正仿宋_GBK" w:cs="方正仿宋_GBK"/>
                <w:b w:val="0"/>
                <w:bCs/>
                <w:color w:val="auto"/>
                <w:kern w:val="0"/>
                <w:sz w:val="21"/>
                <w:szCs w:val="21"/>
                <w:highlight w:val="none"/>
                <w:lang w:val="en-US" w:eastAsia="zh-CN"/>
              </w:rPr>
              <w:t>32.4259</w:t>
            </w:r>
          </w:p>
        </w:tc>
        <w:tc>
          <w:tcPr>
            <w:tcW w:w="391" w:type="pct"/>
            <w:noWrap w:val="0"/>
            <w:vAlign w:val="center"/>
          </w:tcPr>
          <w:p w14:paraId="5C4943E1">
            <w:pPr>
              <w:widowControl/>
              <w:spacing w:line="0" w:lineRule="atLeast"/>
              <w:jc w:val="center"/>
              <w:textAlignment w:val="center"/>
              <w:rPr>
                <w:rFonts w:hint="eastAsia" w:ascii="方正仿宋_GBK" w:hAnsi="方正仿宋_GBK" w:eastAsia="方正仿宋_GBK" w:cs="方正仿宋_GBK"/>
                <w:b w:val="0"/>
                <w:bCs/>
                <w:color w:val="auto"/>
                <w:kern w:val="0"/>
                <w:sz w:val="21"/>
                <w:szCs w:val="21"/>
                <w:highlight w:val="none"/>
                <w:lang w:val="en-US" w:eastAsia="zh-CN"/>
              </w:rPr>
            </w:pPr>
            <w:r>
              <w:rPr>
                <w:rFonts w:hint="eastAsia" w:ascii="方正仿宋_GBK" w:hAnsi="方正仿宋_GBK" w:eastAsia="方正仿宋_GBK" w:cs="方正仿宋_GBK"/>
                <w:b w:val="0"/>
                <w:bCs/>
                <w:color w:val="auto"/>
                <w:kern w:val="0"/>
                <w:sz w:val="21"/>
                <w:szCs w:val="21"/>
                <w:highlight w:val="none"/>
                <w:lang w:val="en-US" w:eastAsia="zh-CN"/>
              </w:rPr>
              <w:t>5800</w:t>
            </w:r>
          </w:p>
        </w:tc>
        <w:tc>
          <w:tcPr>
            <w:tcW w:w="1676" w:type="pct"/>
            <w:noWrap w:val="0"/>
            <w:vAlign w:val="center"/>
          </w:tcPr>
          <w:p w14:paraId="4AF580CF">
            <w:pPr>
              <w:widowControl/>
              <w:spacing w:line="0" w:lineRule="atLeast"/>
              <w:jc w:val="left"/>
              <w:textAlignment w:val="center"/>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lang w:val="en-US" w:eastAsia="zh-CN"/>
              </w:rPr>
              <w:t>提供2022年1月1日至招标公告发布前1日（以合同签订时间为准），耗材销售业绩</w:t>
            </w:r>
            <w:r>
              <w:rPr>
                <w:rFonts w:hint="eastAsia" w:ascii="方正仿宋_GBK" w:hAnsi="方正仿宋_GBK" w:eastAsia="方正仿宋_GBK" w:cs="方正仿宋_GBK"/>
                <w:b w:val="0"/>
                <w:bCs/>
                <w:color w:val="auto"/>
                <w:kern w:val="0"/>
                <w:sz w:val="21"/>
                <w:szCs w:val="21"/>
                <w:highlight w:val="none"/>
                <w:lang w:val="en-US" w:eastAsia="zh-CN"/>
              </w:rPr>
              <w:t>至少1份。</w:t>
            </w:r>
          </w:p>
        </w:tc>
      </w:tr>
      <w:tr w14:paraId="37FAC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7" w:hRule="atLeast"/>
          <w:jc w:val="center"/>
        </w:trPr>
        <w:tc>
          <w:tcPr>
            <w:tcW w:w="216" w:type="pct"/>
            <w:noWrap w:val="0"/>
            <w:tcMar>
              <w:top w:w="0" w:type="dxa"/>
              <w:left w:w="108" w:type="dxa"/>
              <w:bottom w:w="0" w:type="dxa"/>
              <w:right w:w="108" w:type="dxa"/>
            </w:tcMar>
            <w:vAlign w:val="center"/>
          </w:tcPr>
          <w:p w14:paraId="7ED212E4">
            <w:pPr>
              <w:widowControl/>
              <w:spacing w:line="0" w:lineRule="atLeast"/>
              <w:jc w:val="center"/>
              <w:textAlignment w:val="center"/>
              <w:rPr>
                <w:rFonts w:hint="default" w:ascii="方正仿宋_GBK" w:hAnsi="方正仿宋_GBK" w:eastAsia="方正仿宋_GBK" w:cs="方正仿宋_GBK"/>
                <w:b w:val="0"/>
                <w:bCs/>
                <w:color w:val="auto"/>
                <w:kern w:val="0"/>
                <w:sz w:val="21"/>
                <w:szCs w:val="21"/>
                <w:highlight w:val="none"/>
                <w:lang w:val="en-US" w:eastAsia="zh-CN"/>
              </w:rPr>
            </w:pPr>
            <w:r>
              <w:rPr>
                <w:rFonts w:hint="eastAsia" w:ascii="方正仿宋_GBK" w:hAnsi="方正仿宋_GBK" w:eastAsia="方正仿宋_GBK" w:cs="方正仿宋_GBK"/>
                <w:b w:val="0"/>
                <w:bCs/>
                <w:color w:val="auto"/>
                <w:kern w:val="0"/>
                <w:sz w:val="21"/>
                <w:szCs w:val="21"/>
                <w:highlight w:val="none"/>
                <w:lang w:val="en-US" w:eastAsia="zh-CN"/>
              </w:rPr>
              <w:t>7</w:t>
            </w:r>
          </w:p>
        </w:tc>
        <w:tc>
          <w:tcPr>
            <w:tcW w:w="742" w:type="pct"/>
            <w:shd w:val="clear" w:color="auto" w:fill="auto"/>
            <w:noWrap w:val="0"/>
            <w:tcMar>
              <w:top w:w="0" w:type="dxa"/>
              <w:left w:w="108" w:type="dxa"/>
              <w:bottom w:w="0" w:type="dxa"/>
              <w:right w:w="108" w:type="dxa"/>
            </w:tcMar>
            <w:vAlign w:val="center"/>
          </w:tcPr>
          <w:p w14:paraId="7DDF9578">
            <w:pPr>
              <w:widowControl/>
              <w:spacing w:line="0" w:lineRule="atLeast"/>
              <w:jc w:val="center"/>
              <w:textAlignment w:val="center"/>
              <w:rPr>
                <w:rFonts w:hint="eastAsia" w:ascii="方正仿宋_GBK" w:hAnsi="方正仿宋_GBK" w:eastAsia="方正仿宋_GBK" w:cs="方正仿宋_GBK"/>
                <w:b w:val="0"/>
                <w:bCs/>
                <w:color w:val="auto"/>
                <w:kern w:val="0"/>
                <w:sz w:val="21"/>
                <w:szCs w:val="21"/>
                <w:highlight w:val="none"/>
                <w:lang w:val="en-US" w:eastAsia="zh-CN"/>
              </w:rPr>
            </w:pPr>
            <w:r>
              <w:rPr>
                <w:rFonts w:hint="eastAsia" w:ascii="方正仿宋_GBK" w:hAnsi="方正仿宋_GBK" w:eastAsia="方正仿宋_GBK" w:cs="方正仿宋_GBK"/>
                <w:b w:val="0"/>
                <w:bCs/>
                <w:color w:val="auto"/>
                <w:kern w:val="0"/>
                <w:sz w:val="21"/>
                <w:szCs w:val="21"/>
                <w:highlight w:val="none"/>
                <w:lang w:val="en-US" w:eastAsia="zh-CN"/>
              </w:rPr>
              <w:t>YTZBWZ2025-1007-GJ</w:t>
            </w:r>
          </w:p>
        </w:tc>
        <w:tc>
          <w:tcPr>
            <w:tcW w:w="444" w:type="pct"/>
            <w:shd w:val="clear" w:color="auto" w:fill="auto"/>
            <w:noWrap w:val="0"/>
            <w:tcMar>
              <w:top w:w="0" w:type="dxa"/>
              <w:left w:w="108" w:type="dxa"/>
              <w:bottom w:w="0" w:type="dxa"/>
              <w:right w:w="108" w:type="dxa"/>
            </w:tcMar>
            <w:vAlign w:val="center"/>
          </w:tcPr>
          <w:p w14:paraId="56F7C40E">
            <w:pPr>
              <w:widowControl/>
              <w:spacing w:line="0" w:lineRule="atLeast"/>
              <w:jc w:val="center"/>
              <w:textAlignment w:val="center"/>
              <w:rPr>
                <w:rFonts w:hint="eastAsia" w:ascii="方正仿宋_GBK" w:hAnsi="方正仿宋_GBK" w:eastAsia="方正仿宋_GBK" w:cs="方正仿宋_GBK"/>
                <w:b w:val="0"/>
                <w:bCs/>
                <w:color w:val="auto"/>
                <w:kern w:val="0"/>
                <w:sz w:val="21"/>
                <w:szCs w:val="21"/>
                <w:highlight w:val="none"/>
                <w:lang w:val="en-US" w:eastAsia="zh-CN"/>
              </w:rPr>
            </w:pPr>
            <w:r>
              <w:rPr>
                <w:rFonts w:hint="eastAsia" w:ascii="方正仿宋_GBK" w:hAnsi="方正仿宋_GBK" w:eastAsia="方正仿宋_GBK" w:cs="方正仿宋_GBK"/>
                <w:b w:val="0"/>
                <w:bCs/>
                <w:color w:val="auto"/>
                <w:kern w:val="0"/>
                <w:sz w:val="21"/>
                <w:szCs w:val="21"/>
                <w:highlight w:val="none"/>
                <w:lang w:val="en-US" w:eastAsia="zh-CN"/>
              </w:rPr>
              <w:t>耗材采购</w:t>
            </w:r>
          </w:p>
        </w:tc>
        <w:tc>
          <w:tcPr>
            <w:tcW w:w="626" w:type="pct"/>
            <w:noWrap w:val="0"/>
            <w:vAlign w:val="center"/>
          </w:tcPr>
          <w:p w14:paraId="1777245F">
            <w:pPr>
              <w:widowControl/>
              <w:spacing w:line="0" w:lineRule="atLeast"/>
              <w:jc w:val="center"/>
              <w:textAlignment w:val="center"/>
              <w:rPr>
                <w:rFonts w:hint="eastAsia" w:ascii="方正仿宋_GBK" w:hAnsi="方正仿宋_GBK" w:eastAsia="方正仿宋_GBK" w:cs="方正仿宋_GBK"/>
                <w:b w:val="0"/>
                <w:bCs/>
                <w:color w:val="auto"/>
                <w:kern w:val="0"/>
                <w:sz w:val="21"/>
                <w:szCs w:val="21"/>
                <w:highlight w:val="none"/>
                <w:lang w:val="en-US" w:eastAsia="zh-CN"/>
              </w:rPr>
            </w:pPr>
            <w:r>
              <w:rPr>
                <w:rFonts w:hint="eastAsia" w:ascii="方正仿宋_GBK" w:hAnsi="方正仿宋_GBK" w:eastAsia="方正仿宋_GBK" w:cs="方正仿宋_GBK"/>
                <w:b w:val="0"/>
                <w:bCs/>
                <w:color w:val="auto"/>
                <w:kern w:val="0"/>
                <w:sz w:val="21"/>
                <w:szCs w:val="21"/>
                <w:highlight w:val="none"/>
                <w:lang w:val="en-US" w:eastAsia="zh-CN"/>
              </w:rPr>
              <w:t>YTZB20250107耗材采购</w:t>
            </w:r>
          </w:p>
        </w:tc>
        <w:tc>
          <w:tcPr>
            <w:tcW w:w="536" w:type="pct"/>
            <w:noWrap w:val="0"/>
            <w:vAlign w:val="center"/>
          </w:tcPr>
          <w:p w14:paraId="2520562D">
            <w:pPr>
              <w:widowControl/>
              <w:spacing w:line="0" w:lineRule="atLeast"/>
              <w:jc w:val="center"/>
              <w:textAlignment w:val="center"/>
              <w:rPr>
                <w:rFonts w:hint="eastAsia" w:ascii="方正仿宋_GBK" w:hAnsi="方正仿宋_GBK" w:eastAsia="方正仿宋_GBK" w:cs="方正仿宋_GBK"/>
                <w:b w:val="0"/>
                <w:bCs/>
                <w:color w:val="auto"/>
                <w:kern w:val="0"/>
                <w:sz w:val="21"/>
                <w:szCs w:val="21"/>
                <w:highlight w:val="none"/>
                <w:lang w:val="en-US" w:eastAsia="zh-CN"/>
              </w:rPr>
            </w:pPr>
            <w:r>
              <w:rPr>
                <w:rFonts w:hint="eastAsia" w:ascii="方正仿宋_GBK" w:hAnsi="方正仿宋_GBK" w:eastAsia="方正仿宋_GBK" w:cs="方正仿宋_GBK"/>
                <w:spacing w:val="10"/>
                <w:sz w:val="21"/>
                <w:szCs w:val="21"/>
                <w:highlight w:val="none"/>
              </w:rPr>
              <w:t>在合同签订后60日内完成供货</w:t>
            </w:r>
          </w:p>
        </w:tc>
        <w:tc>
          <w:tcPr>
            <w:tcW w:w="364" w:type="pct"/>
            <w:noWrap w:val="0"/>
            <w:vAlign w:val="center"/>
          </w:tcPr>
          <w:p w14:paraId="01A1D421">
            <w:pPr>
              <w:widowControl/>
              <w:spacing w:line="0" w:lineRule="atLeast"/>
              <w:jc w:val="center"/>
              <w:textAlignment w:val="center"/>
              <w:rPr>
                <w:rFonts w:hint="eastAsia" w:ascii="方正仿宋_GBK" w:hAnsi="方正仿宋_GBK" w:eastAsia="方正仿宋_GBK" w:cs="方正仿宋_GBK"/>
                <w:b w:val="0"/>
                <w:bCs/>
                <w:color w:val="auto"/>
                <w:kern w:val="0"/>
                <w:sz w:val="21"/>
                <w:szCs w:val="21"/>
                <w:highlight w:val="none"/>
                <w:lang w:val="en-US" w:eastAsia="zh-CN"/>
              </w:rPr>
            </w:pPr>
            <w:r>
              <w:rPr>
                <w:rFonts w:hint="eastAsia" w:ascii="方正仿宋_GBK" w:hAnsi="方正仿宋_GBK" w:eastAsia="方正仿宋_GBK" w:cs="方正仿宋_GBK"/>
                <w:b w:val="0"/>
                <w:bCs/>
                <w:color w:val="auto"/>
                <w:kern w:val="0"/>
                <w:sz w:val="21"/>
                <w:szCs w:val="21"/>
                <w:highlight w:val="none"/>
                <w:lang w:val="en-US" w:eastAsia="zh-CN"/>
              </w:rPr>
              <w:t>31.731</w:t>
            </w:r>
          </w:p>
        </w:tc>
        <w:tc>
          <w:tcPr>
            <w:tcW w:w="391" w:type="pct"/>
            <w:noWrap w:val="0"/>
            <w:vAlign w:val="center"/>
          </w:tcPr>
          <w:p w14:paraId="355656AB">
            <w:pPr>
              <w:widowControl/>
              <w:spacing w:line="0" w:lineRule="atLeast"/>
              <w:jc w:val="center"/>
              <w:textAlignment w:val="center"/>
              <w:rPr>
                <w:rFonts w:hint="eastAsia" w:ascii="方正仿宋_GBK" w:hAnsi="方正仿宋_GBK" w:eastAsia="方正仿宋_GBK" w:cs="方正仿宋_GBK"/>
                <w:b w:val="0"/>
                <w:bCs/>
                <w:color w:val="auto"/>
                <w:kern w:val="0"/>
                <w:sz w:val="21"/>
                <w:szCs w:val="21"/>
                <w:highlight w:val="none"/>
                <w:lang w:val="en-US" w:eastAsia="zh-CN"/>
              </w:rPr>
            </w:pPr>
            <w:r>
              <w:rPr>
                <w:rFonts w:hint="eastAsia" w:ascii="方正仿宋_GBK" w:hAnsi="方正仿宋_GBK" w:eastAsia="方正仿宋_GBK" w:cs="方正仿宋_GBK"/>
                <w:b w:val="0"/>
                <w:bCs/>
                <w:color w:val="auto"/>
                <w:kern w:val="0"/>
                <w:sz w:val="21"/>
                <w:szCs w:val="21"/>
                <w:highlight w:val="none"/>
                <w:lang w:val="en-US" w:eastAsia="zh-CN"/>
              </w:rPr>
              <w:t>5700</w:t>
            </w:r>
          </w:p>
        </w:tc>
        <w:tc>
          <w:tcPr>
            <w:tcW w:w="1676" w:type="pct"/>
            <w:noWrap w:val="0"/>
            <w:vAlign w:val="center"/>
          </w:tcPr>
          <w:p w14:paraId="58249747">
            <w:pPr>
              <w:widowControl/>
              <w:spacing w:line="0" w:lineRule="atLeast"/>
              <w:jc w:val="left"/>
              <w:textAlignment w:val="center"/>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lang w:val="en-US" w:eastAsia="zh-CN"/>
              </w:rPr>
              <w:t>提供2022年1月1日至招标公告发布前1日（以合同签订时间为准），耗材销售业绩</w:t>
            </w:r>
            <w:r>
              <w:rPr>
                <w:rFonts w:hint="eastAsia" w:ascii="方正仿宋_GBK" w:hAnsi="方正仿宋_GBK" w:eastAsia="方正仿宋_GBK" w:cs="方正仿宋_GBK"/>
                <w:b w:val="0"/>
                <w:bCs/>
                <w:color w:val="auto"/>
                <w:kern w:val="0"/>
                <w:sz w:val="21"/>
                <w:szCs w:val="21"/>
                <w:highlight w:val="none"/>
                <w:lang w:val="en-US" w:eastAsia="zh-CN"/>
              </w:rPr>
              <w:t>至少1份。</w:t>
            </w:r>
          </w:p>
        </w:tc>
      </w:tr>
      <w:bookmarkEnd w:id="28"/>
    </w:tbl>
    <w:p w14:paraId="3517987E">
      <w:pPr>
        <w:pStyle w:val="11"/>
        <w:tabs>
          <w:tab w:val="left" w:pos="625"/>
        </w:tabs>
        <w:rPr>
          <w:rFonts w:hint="eastAsia" w:ascii="方正仿宋_GBK" w:hAnsi="方正仿宋_GBK" w:eastAsia="方正仿宋_GBK" w:cs="方正仿宋_GBK"/>
          <w:sz w:val="21"/>
          <w:szCs w:val="21"/>
          <w:highlight w:val="none"/>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989840">
    <w:pPr>
      <w:pStyle w:val="4"/>
      <w:tabs>
        <w:tab w:val="center" w:pos="6979"/>
        <w:tab w:val="clear" w:pos="8306"/>
      </w:tabs>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F331E4F">
                          <w:pPr>
                            <w:pStyle w:val="4"/>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6F331E4F">
                    <w:pPr>
                      <w:pStyle w:val="4"/>
                    </w:pPr>
                    <w:r>
                      <w:fldChar w:fldCharType="begin"/>
                    </w:r>
                    <w:r>
                      <w:instrText xml:space="preserve"> PAGE  \* MERGEFORMAT </w:instrText>
                    </w:r>
                    <w:r>
                      <w:fldChar w:fldCharType="separate"/>
                    </w:r>
                    <w:r>
                      <w:t>2</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a:noFill/>
                      </a:ln>
                      <a:effectLst/>
                    </wps:spPr>
                    <wps:txbx>
                      <w:txbxContent>
                        <w:p w14:paraId="2B65D7D4">
                          <w:pPr>
                            <w:pStyle w:val="4"/>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y1u5d9AAAAACAQAADwAAAAAAAAABACAAAAAiAAAAZHJz&#10;L2Rvd25yZXYueG1sUEsBAhQAFAAAAAgAh07iQOmC997TAQAApAMAAA4AAAAAAAAAAQAgAAAAHwEA&#10;AGRycy9lMm9Eb2MueG1sUEsFBgAAAAAGAAYAWQEAAGQFAAAAAA==&#10;">
              <v:fill on="f" focussize="0,0"/>
              <v:stroke on="f"/>
              <v:imagedata o:title=""/>
              <o:lock v:ext="edit" aspectratio="f"/>
              <v:textbox inset="0mm,0mm,0mm,0mm" style="mso-fit-shape-to-text:t;">
                <w:txbxContent>
                  <w:p w14:paraId="2B65D7D4">
                    <w:pPr>
                      <w:pStyle w:val="4"/>
                    </w:pPr>
                  </w:p>
                </w:txbxContent>
              </v:textbox>
            </v:shape>
          </w:pict>
        </mc:Fallback>
      </mc:AlternateContent>
    </w:r>
    <w:r>
      <w:tab/>
    </w:r>
    <w: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1OTU4NmJiMjE1MzEzYjVmYmIzMmY1MTE5NmEyNDcifQ=="/>
  </w:docVars>
  <w:rsids>
    <w:rsidRoot w:val="00000000"/>
    <w:rsid w:val="018A0102"/>
    <w:rsid w:val="023A76D1"/>
    <w:rsid w:val="02582920"/>
    <w:rsid w:val="0305345B"/>
    <w:rsid w:val="030B6017"/>
    <w:rsid w:val="033129DC"/>
    <w:rsid w:val="03590B49"/>
    <w:rsid w:val="037E2237"/>
    <w:rsid w:val="03D13F17"/>
    <w:rsid w:val="04860D8F"/>
    <w:rsid w:val="06497B03"/>
    <w:rsid w:val="07F41CF0"/>
    <w:rsid w:val="0A2E773B"/>
    <w:rsid w:val="0B185CF6"/>
    <w:rsid w:val="0C266EE2"/>
    <w:rsid w:val="0D533015"/>
    <w:rsid w:val="0D841C4F"/>
    <w:rsid w:val="0DB41372"/>
    <w:rsid w:val="0DCD1FEE"/>
    <w:rsid w:val="0E300A2F"/>
    <w:rsid w:val="0ED2440E"/>
    <w:rsid w:val="10853E2D"/>
    <w:rsid w:val="10D4529F"/>
    <w:rsid w:val="11242D9D"/>
    <w:rsid w:val="1180419F"/>
    <w:rsid w:val="12B77816"/>
    <w:rsid w:val="13AE369B"/>
    <w:rsid w:val="14607423"/>
    <w:rsid w:val="14F50755"/>
    <w:rsid w:val="15C57942"/>
    <w:rsid w:val="15DE0946"/>
    <w:rsid w:val="15E41B4B"/>
    <w:rsid w:val="16267F4A"/>
    <w:rsid w:val="163548CE"/>
    <w:rsid w:val="16BF0940"/>
    <w:rsid w:val="17252504"/>
    <w:rsid w:val="17672B49"/>
    <w:rsid w:val="1780568E"/>
    <w:rsid w:val="17832749"/>
    <w:rsid w:val="19376CEC"/>
    <w:rsid w:val="1B7E160A"/>
    <w:rsid w:val="1C424981"/>
    <w:rsid w:val="1C5650E1"/>
    <w:rsid w:val="1CAB69CA"/>
    <w:rsid w:val="1CCB706C"/>
    <w:rsid w:val="1D5E7B80"/>
    <w:rsid w:val="1D86612E"/>
    <w:rsid w:val="1E380731"/>
    <w:rsid w:val="1E805C34"/>
    <w:rsid w:val="1FA50428"/>
    <w:rsid w:val="1FCA53B9"/>
    <w:rsid w:val="202F5810"/>
    <w:rsid w:val="2051041F"/>
    <w:rsid w:val="213E5292"/>
    <w:rsid w:val="227A02E4"/>
    <w:rsid w:val="23112149"/>
    <w:rsid w:val="237813DD"/>
    <w:rsid w:val="23896900"/>
    <w:rsid w:val="23897339"/>
    <w:rsid w:val="244B45EE"/>
    <w:rsid w:val="24751EE1"/>
    <w:rsid w:val="2477097A"/>
    <w:rsid w:val="25A42208"/>
    <w:rsid w:val="26C63950"/>
    <w:rsid w:val="26FB67A0"/>
    <w:rsid w:val="270A0791"/>
    <w:rsid w:val="28455ABC"/>
    <w:rsid w:val="294B594F"/>
    <w:rsid w:val="296323DA"/>
    <w:rsid w:val="2B196D81"/>
    <w:rsid w:val="2B1B09AF"/>
    <w:rsid w:val="2B204A27"/>
    <w:rsid w:val="2B577D1D"/>
    <w:rsid w:val="2B5B780D"/>
    <w:rsid w:val="2B612949"/>
    <w:rsid w:val="2B7D7783"/>
    <w:rsid w:val="2B830B12"/>
    <w:rsid w:val="2C4B5903"/>
    <w:rsid w:val="2D1A1982"/>
    <w:rsid w:val="2DE51610"/>
    <w:rsid w:val="2E7A04EE"/>
    <w:rsid w:val="2F052E86"/>
    <w:rsid w:val="2F0E2B56"/>
    <w:rsid w:val="2FF26266"/>
    <w:rsid w:val="30AE4783"/>
    <w:rsid w:val="30B84C52"/>
    <w:rsid w:val="30CD37AA"/>
    <w:rsid w:val="324844A6"/>
    <w:rsid w:val="32F6606D"/>
    <w:rsid w:val="35130C73"/>
    <w:rsid w:val="35DC3823"/>
    <w:rsid w:val="365A355D"/>
    <w:rsid w:val="369D4B1D"/>
    <w:rsid w:val="37BF7A82"/>
    <w:rsid w:val="3820797C"/>
    <w:rsid w:val="38460AFA"/>
    <w:rsid w:val="39162FC5"/>
    <w:rsid w:val="39A4366B"/>
    <w:rsid w:val="3A80737B"/>
    <w:rsid w:val="3AF17846"/>
    <w:rsid w:val="3C055B87"/>
    <w:rsid w:val="3C61249D"/>
    <w:rsid w:val="3C97266F"/>
    <w:rsid w:val="3E171CB9"/>
    <w:rsid w:val="3F126781"/>
    <w:rsid w:val="3FA61A5F"/>
    <w:rsid w:val="3FE26329"/>
    <w:rsid w:val="407C3038"/>
    <w:rsid w:val="414E2758"/>
    <w:rsid w:val="41923405"/>
    <w:rsid w:val="43E06F81"/>
    <w:rsid w:val="44654E01"/>
    <w:rsid w:val="4476700E"/>
    <w:rsid w:val="44AE0556"/>
    <w:rsid w:val="44D8138C"/>
    <w:rsid w:val="453B4C3C"/>
    <w:rsid w:val="456F6B9F"/>
    <w:rsid w:val="45FA58D0"/>
    <w:rsid w:val="46164604"/>
    <w:rsid w:val="483313C5"/>
    <w:rsid w:val="48473E73"/>
    <w:rsid w:val="4AA15384"/>
    <w:rsid w:val="4B1B446B"/>
    <w:rsid w:val="4B375055"/>
    <w:rsid w:val="4D2E620D"/>
    <w:rsid w:val="4DAB3D11"/>
    <w:rsid w:val="4E387F47"/>
    <w:rsid w:val="4F1E452A"/>
    <w:rsid w:val="4F2005B6"/>
    <w:rsid w:val="4F403134"/>
    <w:rsid w:val="4FB12DDC"/>
    <w:rsid w:val="4FE15C83"/>
    <w:rsid w:val="51340035"/>
    <w:rsid w:val="516A3318"/>
    <w:rsid w:val="51D51818"/>
    <w:rsid w:val="528172AA"/>
    <w:rsid w:val="52AD62F0"/>
    <w:rsid w:val="52F13858"/>
    <w:rsid w:val="53082BDB"/>
    <w:rsid w:val="532D02F0"/>
    <w:rsid w:val="534529CD"/>
    <w:rsid w:val="536C7F5A"/>
    <w:rsid w:val="53A4693F"/>
    <w:rsid w:val="54056294"/>
    <w:rsid w:val="545A24A8"/>
    <w:rsid w:val="54AD4386"/>
    <w:rsid w:val="55B60739"/>
    <w:rsid w:val="55D41DE6"/>
    <w:rsid w:val="56502DE3"/>
    <w:rsid w:val="56AD68BF"/>
    <w:rsid w:val="58CB5722"/>
    <w:rsid w:val="59983AA8"/>
    <w:rsid w:val="59CA3C2C"/>
    <w:rsid w:val="5B0D0A50"/>
    <w:rsid w:val="5B9F6A11"/>
    <w:rsid w:val="5BA83AF9"/>
    <w:rsid w:val="5BA97367"/>
    <w:rsid w:val="5C0E38BB"/>
    <w:rsid w:val="5CE24DE9"/>
    <w:rsid w:val="5CEE4994"/>
    <w:rsid w:val="5D413B33"/>
    <w:rsid w:val="5D4C2C45"/>
    <w:rsid w:val="5D5F6439"/>
    <w:rsid w:val="5D60616F"/>
    <w:rsid w:val="5DDB01B6"/>
    <w:rsid w:val="5DE52DE2"/>
    <w:rsid w:val="5E8816CD"/>
    <w:rsid w:val="5ED028AF"/>
    <w:rsid w:val="5FB567E4"/>
    <w:rsid w:val="606B7E4D"/>
    <w:rsid w:val="60A968FA"/>
    <w:rsid w:val="60EC26DA"/>
    <w:rsid w:val="61D83C29"/>
    <w:rsid w:val="637846F9"/>
    <w:rsid w:val="641C5084"/>
    <w:rsid w:val="64B4350F"/>
    <w:rsid w:val="65A01B51"/>
    <w:rsid w:val="663C7B17"/>
    <w:rsid w:val="667129C6"/>
    <w:rsid w:val="67397D03"/>
    <w:rsid w:val="67DD6BA6"/>
    <w:rsid w:val="67ED7463"/>
    <w:rsid w:val="688A53B6"/>
    <w:rsid w:val="6A856AFE"/>
    <w:rsid w:val="6AAE2D2C"/>
    <w:rsid w:val="6C30791F"/>
    <w:rsid w:val="6D585798"/>
    <w:rsid w:val="6D6E0285"/>
    <w:rsid w:val="6E733BF0"/>
    <w:rsid w:val="6F0959E6"/>
    <w:rsid w:val="6F2F0294"/>
    <w:rsid w:val="70A26911"/>
    <w:rsid w:val="71954107"/>
    <w:rsid w:val="733A7F75"/>
    <w:rsid w:val="73BA392F"/>
    <w:rsid w:val="73C7778C"/>
    <w:rsid w:val="73E31A1B"/>
    <w:rsid w:val="748A6630"/>
    <w:rsid w:val="750202C6"/>
    <w:rsid w:val="75A44ED9"/>
    <w:rsid w:val="77C16217"/>
    <w:rsid w:val="77FE4D75"/>
    <w:rsid w:val="78106856"/>
    <w:rsid w:val="79645F30"/>
    <w:rsid w:val="7AB23BF5"/>
    <w:rsid w:val="7B3B502E"/>
    <w:rsid w:val="7B5E2ABA"/>
    <w:rsid w:val="7C413482"/>
    <w:rsid w:val="7D126BCC"/>
    <w:rsid w:val="7E235535"/>
    <w:rsid w:val="7EFA7000"/>
    <w:rsid w:val="7F721BA4"/>
    <w:rsid w:val="7FF56A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kern w:val="0"/>
      <w:sz w:val="32"/>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3">
    <w:name w:val="Body Text Indent"/>
    <w:basedOn w:val="1"/>
    <w:autoRedefine/>
    <w:qFormat/>
    <w:uiPriority w:val="0"/>
    <w:pPr>
      <w:spacing w:after="120"/>
      <w:ind w:left="420"/>
    </w:pPr>
    <w:rPr>
      <w:sz w:val="22"/>
    </w:rPr>
  </w:style>
  <w:style w:type="paragraph" w:styleId="4">
    <w:name w:val="footer"/>
    <w:basedOn w:val="1"/>
    <w:autoRedefine/>
    <w:unhideWhenUsed/>
    <w:qFormat/>
    <w:uiPriority w:val="99"/>
    <w:pPr>
      <w:tabs>
        <w:tab w:val="center" w:pos="4153"/>
        <w:tab w:val="right" w:pos="8306"/>
      </w:tabs>
      <w:snapToGrid w:val="0"/>
      <w:jc w:val="left"/>
    </w:pPr>
    <w:rPr>
      <w:sz w:val="18"/>
      <w:szCs w:val="18"/>
    </w:rPr>
  </w:style>
  <w:style w:type="paragraph" w:styleId="5">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6">
    <w:name w:val="Body Text First Indent 2"/>
    <w:basedOn w:val="3"/>
    <w:autoRedefine/>
    <w:qFormat/>
    <w:uiPriority w:val="0"/>
    <w:pPr>
      <w:ind w:firstLine="420"/>
    </w:pPr>
  </w:style>
  <w:style w:type="character" w:styleId="9">
    <w:name w:val="Hyperlink"/>
    <w:autoRedefine/>
    <w:qFormat/>
    <w:uiPriority w:val="99"/>
    <w:rPr>
      <w:color w:val="0000FF"/>
      <w:u w:val="single"/>
    </w:rPr>
  </w:style>
  <w:style w:type="paragraph" w:customStyle="1" w:styleId="10">
    <w:name w:val="正文文本2"/>
    <w:basedOn w:val="1"/>
    <w:autoRedefine/>
    <w:qFormat/>
    <w:uiPriority w:val="0"/>
    <w:pPr>
      <w:autoSpaceDE w:val="0"/>
      <w:autoSpaceDN w:val="0"/>
      <w:jc w:val="left"/>
    </w:pPr>
    <w:rPr>
      <w:rFonts w:ascii="宋体" w:hAnsi="宋体"/>
      <w:kern w:val="0"/>
      <w:sz w:val="20"/>
      <w:szCs w:val="21"/>
      <w:lang w:val="zh-CN"/>
    </w:rPr>
  </w:style>
  <w:style w:type="paragraph" w:customStyle="1" w:styleId="11">
    <w:name w:val="Normal_1"/>
    <w:autoRedefine/>
    <w:qFormat/>
    <w:uiPriority w:val="0"/>
    <w:pPr>
      <w:widowControl w:val="0"/>
      <w:jc w:val="both"/>
    </w:pPr>
    <w:rPr>
      <w:rFonts w:ascii="Times New Roman" w:hAnsi="Times New Roman" w:eastAsia="宋体" w:cs="Times New Roman"/>
      <w:lang w:val="en-US" w:eastAsia="zh-CN" w:bidi="ar-SA"/>
    </w:rPr>
  </w:style>
  <w:style w:type="paragraph" w:customStyle="1" w:styleId="12">
    <w:name w:val="No Spacing"/>
    <w:autoRedefine/>
    <w:qFormat/>
    <w:uiPriority w:val="1"/>
    <w:rPr>
      <w:rFonts w:ascii="宋体" w:hAnsi="宋体" w:eastAsia="宋体" w:cs="宋体"/>
      <w:kern w:val="0"/>
      <w:sz w:val="24"/>
      <w:szCs w:val="24"/>
      <w:lang w:val="en-US" w:eastAsia="zh-CN" w:bidi="ar-SA"/>
    </w:rPr>
  </w:style>
  <w:style w:type="paragraph" w:customStyle="1" w:styleId="13">
    <w:name w:val="链接"/>
    <w:qFormat/>
    <w:uiPriority w:val="0"/>
    <w:pPr>
      <w:widowControl w:val="0"/>
      <w:autoSpaceDE w:val="0"/>
      <w:autoSpaceDN w:val="0"/>
      <w:adjustRightInd w:val="0"/>
      <w:ind w:left="720"/>
    </w:pPr>
    <w:rPr>
      <w:rFonts w:ascii="Calibri" w:hAnsi="Calibri" w:eastAsia="仿宋_GB2312" w:cs="Times New Roman"/>
      <w:sz w:val="32"/>
      <w:szCs w:val="32"/>
      <w:lang w:val="zh-CN"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5541</Words>
  <Characters>6385</Characters>
  <Lines>0</Lines>
  <Paragraphs>0</Paragraphs>
  <TotalTime>4</TotalTime>
  <ScaleCrop>false</ScaleCrop>
  <LinksUpToDate>false</LinksUpToDate>
  <CharactersWithSpaces>6418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2024-07-24T08:45:00Z</dcterms:created>
  <dc:creator>Administrator</dc:creator>
  <cp:lastModifiedBy>贺朝.</cp:lastModifiedBy>
  <cp:lastPrinted>2025-01-19T08:34:00Z</cp:lastPrinted>
  <dcterms:modified xsi:type="dcterms:W3CDTF">2025-01-22T09:32:53Z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A197E2109ABB4FE4AFAE3633BDE9EC87_13</vt:lpwstr>
  </property>
  <property fmtid="{D5CDD505-2E9C-101B-9397-08002B2CF9AE}" pid="4" name="KSOTemplateDocerSaveRecord">
    <vt:lpwstr>eyJoZGlkIjoiMDEwODY0ZmUyNTdiZWMwNDg3YTAwNTQ3ZDljMWI2MmQiLCJ1c2VySWQiOiI3MzAwNjQ3NTMifQ==</vt:lpwstr>
  </property>
</Properties>
</file>