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D83DB">
      <w:pPr>
        <w:widowControl/>
        <w:jc w:val="left"/>
        <w:rPr>
          <w:rFonts w:hint="eastAsia" w:asciiTheme="minorEastAsia" w:hAnsiTheme="minorEastAsia" w:eastAsiaTheme="minorEastAsia" w:cstheme="minorEastAsia"/>
          <w:b/>
          <w:bCs/>
          <w:color w:val="auto"/>
          <w:kern w:val="0"/>
          <w:sz w:val="24"/>
          <w:szCs w:val="24"/>
          <w:highlight w:val="none"/>
        </w:rPr>
      </w:pPr>
      <w:bookmarkStart w:id="0" w:name="_GoBack"/>
      <w:bookmarkEnd w:id="0"/>
      <w:r>
        <w:rPr>
          <w:rFonts w:hint="eastAsia" w:asciiTheme="minorEastAsia" w:hAnsiTheme="minorEastAsia" w:eastAsiaTheme="minorEastAsia" w:cstheme="minorEastAsia"/>
          <w:b/>
          <w:bCs/>
          <w:color w:val="auto"/>
          <w:kern w:val="0"/>
          <w:sz w:val="24"/>
          <w:szCs w:val="24"/>
          <w:highlight w:val="none"/>
        </w:rPr>
        <w:t>附件1   招标需求一览表</w:t>
      </w:r>
    </w:p>
    <w:tbl>
      <w:tblPr>
        <w:tblStyle w:val="8"/>
        <w:tblW w:w="5445" w:type="pct"/>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1"/>
        <w:gridCol w:w="1601"/>
        <w:gridCol w:w="5476"/>
        <w:gridCol w:w="967"/>
        <w:gridCol w:w="666"/>
        <w:gridCol w:w="917"/>
        <w:gridCol w:w="1117"/>
        <w:gridCol w:w="1816"/>
        <w:gridCol w:w="1865"/>
      </w:tblGrid>
      <w:tr w14:paraId="0E62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327" w:type="pct"/>
            <w:tcBorders>
              <w:tl2br w:val="nil"/>
              <w:tr2bl w:val="nil"/>
            </w:tcBorders>
            <w:shd w:val="clear" w:color="auto" w:fill="auto"/>
            <w:vAlign w:val="center"/>
          </w:tcPr>
          <w:p w14:paraId="497C87B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项目名称</w:t>
            </w:r>
          </w:p>
        </w:tc>
        <w:tc>
          <w:tcPr>
            <w:tcW w:w="518" w:type="pct"/>
            <w:tcBorders>
              <w:tl2br w:val="nil"/>
              <w:tr2bl w:val="nil"/>
            </w:tcBorders>
            <w:shd w:val="clear" w:color="auto" w:fill="auto"/>
            <w:vAlign w:val="center"/>
          </w:tcPr>
          <w:p w14:paraId="782BA3E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物资名称</w:t>
            </w:r>
          </w:p>
        </w:tc>
        <w:tc>
          <w:tcPr>
            <w:tcW w:w="1773" w:type="pct"/>
            <w:tcBorders>
              <w:tl2br w:val="nil"/>
              <w:tr2bl w:val="nil"/>
            </w:tcBorders>
            <w:shd w:val="clear" w:color="auto" w:fill="auto"/>
            <w:vAlign w:val="center"/>
          </w:tcPr>
          <w:p w14:paraId="08B83C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主要技术要求</w:t>
            </w:r>
          </w:p>
        </w:tc>
        <w:tc>
          <w:tcPr>
            <w:tcW w:w="313" w:type="pct"/>
            <w:tcBorders>
              <w:tl2br w:val="nil"/>
              <w:tr2bl w:val="nil"/>
            </w:tcBorders>
            <w:shd w:val="clear" w:color="auto" w:fill="auto"/>
            <w:vAlign w:val="center"/>
          </w:tcPr>
          <w:p w14:paraId="756874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单位</w:t>
            </w:r>
          </w:p>
        </w:tc>
        <w:tc>
          <w:tcPr>
            <w:tcW w:w="215" w:type="pct"/>
            <w:tcBorders>
              <w:tl2br w:val="nil"/>
              <w:tr2bl w:val="nil"/>
            </w:tcBorders>
            <w:shd w:val="clear" w:color="auto" w:fill="auto"/>
            <w:vAlign w:val="center"/>
          </w:tcPr>
          <w:p w14:paraId="6A1969E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数量</w:t>
            </w:r>
          </w:p>
        </w:tc>
        <w:tc>
          <w:tcPr>
            <w:tcW w:w="297" w:type="pct"/>
            <w:tcBorders>
              <w:tl2br w:val="nil"/>
              <w:tr2bl w:val="nil"/>
            </w:tcBorders>
            <w:shd w:val="clear" w:color="auto" w:fill="auto"/>
            <w:vAlign w:val="center"/>
          </w:tcPr>
          <w:p w14:paraId="4A8F53C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交货日期</w:t>
            </w:r>
          </w:p>
        </w:tc>
        <w:tc>
          <w:tcPr>
            <w:tcW w:w="361" w:type="pct"/>
            <w:tcBorders>
              <w:tl2br w:val="nil"/>
              <w:tr2bl w:val="nil"/>
            </w:tcBorders>
            <w:shd w:val="clear" w:color="auto" w:fill="auto"/>
            <w:vAlign w:val="center"/>
          </w:tcPr>
          <w:p w14:paraId="04D441C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rPr>
              <w:t>质保期（不低于）</w:t>
            </w:r>
          </w:p>
        </w:tc>
        <w:tc>
          <w:tcPr>
            <w:tcW w:w="588" w:type="pct"/>
            <w:tcBorders>
              <w:tl2br w:val="nil"/>
              <w:tr2bl w:val="nil"/>
            </w:tcBorders>
            <w:shd w:val="clear" w:color="auto" w:fill="auto"/>
            <w:vAlign w:val="center"/>
          </w:tcPr>
          <w:p w14:paraId="67660D6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交货地点</w:t>
            </w:r>
          </w:p>
        </w:tc>
        <w:tc>
          <w:tcPr>
            <w:tcW w:w="604" w:type="pct"/>
            <w:tcBorders>
              <w:tl2br w:val="nil"/>
              <w:tr2bl w:val="nil"/>
            </w:tcBorders>
            <w:shd w:val="clear" w:color="auto" w:fill="auto"/>
            <w:vAlign w:val="center"/>
          </w:tcPr>
          <w:p w14:paraId="50CC3D0A">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14:paraId="50E4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4" w:hRule="atLeast"/>
        </w:trPr>
        <w:tc>
          <w:tcPr>
            <w:tcW w:w="327" w:type="pct"/>
            <w:vMerge w:val="restart"/>
            <w:tcBorders>
              <w:tl2br w:val="nil"/>
              <w:tr2bl w:val="nil"/>
            </w:tcBorders>
            <w:shd w:val="clear" w:color="auto" w:fill="auto"/>
            <w:vAlign w:val="center"/>
          </w:tcPr>
          <w:p w14:paraId="0C175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喷射组件、预制舱等采购项目</w:t>
            </w:r>
          </w:p>
        </w:tc>
        <w:tc>
          <w:tcPr>
            <w:tcW w:w="518" w:type="pct"/>
            <w:tcBorders>
              <w:tl2br w:val="nil"/>
              <w:tr2bl w:val="nil"/>
            </w:tcBorders>
            <w:shd w:val="clear" w:color="auto" w:fill="auto"/>
            <w:vAlign w:val="center"/>
          </w:tcPr>
          <w:p w14:paraId="67AD2B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运动组件</w:t>
            </w:r>
          </w:p>
        </w:tc>
        <w:tc>
          <w:tcPr>
            <w:tcW w:w="1773" w:type="pct"/>
            <w:tcBorders>
              <w:tl2br w:val="nil"/>
              <w:tr2bl w:val="nil"/>
            </w:tcBorders>
            <w:shd w:val="clear" w:color="auto" w:fill="auto"/>
            <w:vAlign w:val="center"/>
          </w:tcPr>
          <w:p w14:paraId="310F3F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最大举升高度：≥15m;</w:t>
            </w:r>
          </w:p>
          <w:p w14:paraId="79A86D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直行速度：≥2.5m/s；</w:t>
            </w:r>
          </w:p>
          <w:p w14:paraId="36F6BC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直行跑偏量：≤7%</w:t>
            </w:r>
          </w:p>
          <w:p w14:paraId="70B885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转弯半径：≤12000mm；</w:t>
            </w:r>
          </w:p>
          <w:p w14:paraId="7CF368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爬坡能力：≥17.6%</w:t>
            </w:r>
          </w:p>
          <w:p w14:paraId="131C04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越障高度：≥135mm；</w:t>
            </w:r>
          </w:p>
          <w:p w14:paraId="4C629A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最小离地间隙：≥240mm</w:t>
            </w:r>
          </w:p>
          <w:p w14:paraId="7A608E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最大倾覆稳定角：25°；</w:t>
            </w:r>
          </w:p>
          <w:p w14:paraId="174C1B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在行走过程中，能够实现在行进方向遇到障碍物后联动设备停止前进的功能，避免了对人员、物品及消防炮自身造成损坏；</w:t>
            </w:r>
          </w:p>
        </w:tc>
        <w:tc>
          <w:tcPr>
            <w:tcW w:w="313" w:type="pct"/>
            <w:tcBorders>
              <w:tl2br w:val="nil"/>
              <w:tr2bl w:val="nil"/>
            </w:tcBorders>
            <w:shd w:val="clear" w:color="auto" w:fill="auto"/>
            <w:vAlign w:val="center"/>
          </w:tcPr>
          <w:p w14:paraId="354894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215" w:type="pct"/>
            <w:tcBorders>
              <w:tl2br w:val="nil"/>
              <w:tr2bl w:val="nil"/>
            </w:tcBorders>
            <w:shd w:val="clear" w:color="auto" w:fill="auto"/>
            <w:vAlign w:val="center"/>
          </w:tcPr>
          <w:p w14:paraId="413DE2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97" w:type="pct"/>
            <w:tcBorders>
              <w:tl2br w:val="nil"/>
              <w:tr2bl w:val="nil"/>
            </w:tcBorders>
            <w:shd w:val="clear" w:color="auto" w:fill="auto"/>
            <w:vAlign w:val="center"/>
          </w:tcPr>
          <w:p w14:paraId="7EED5D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5745D3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6C8DE8A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restart"/>
            <w:tcBorders>
              <w:tl2br w:val="nil"/>
              <w:tr2bl w:val="nil"/>
            </w:tcBorders>
            <w:shd w:val="clear" w:color="auto" w:fill="auto"/>
            <w:vAlign w:val="center"/>
          </w:tcPr>
          <w:p w14:paraId="5D9FC7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年1月1日至</w:t>
            </w:r>
            <w:r>
              <w:rPr>
                <w:rFonts w:hint="eastAsia" w:ascii="宋体" w:hAnsi="宋体" w:eastAsia="宋体" w:cs="宋体"/>
                <w:color w:val="auto"/>
                <w:kern w:val="0"/>
                <w:sz w:val="24"/>
                <w:szCs w:val="24"/>
                <w:highlight w:val="none"/>
                <w:lang w:val="en-US" w:eastAsia="zh-CN"/>
              </w:rPr>
              <w:t>招标采购公告发布日止，投标方完成过机器人或组部件（包括驱动装置或视频采集装置或消防设备）</w:t>
            </w:r>
            <w:r>
              <w:rPr>
                <w:rFonts w:hint="eastAsia" w:ascii="宋体" w:hAnsi="宋体" w:eastAsia="宋体" w:cs="宋体"/>
                <w:color w:val="auto"/>
                <w:kern w:val="0"/>
                <w:sz w:val="24"/>
                <w:szCs w:val="24"/>
                <w:highlight w:val="none"/>
              </w:rPr>
              <w:t>销售业绩不少于2份，合同额累计不少于</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。注：业绩必须提供对应的合同复印件。</w:t>
            </w:r>
          </w:p>
        </w:tc>
      </w:tr>
      <w:tr w14:paraId="0FA8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8" w:hRule="atLeast"/>
        </w:trPr>
        <w:tc>
          <w:tcPr>
            <w:tcW w:w="327" w:type="pct"/>
            <w:vMerge w:val="continue"/>
            <w:tcBorders>
              <w:tl2br w:val="nil"/>
              <w:tr2bl w:val="nil"/>
            </w:tcBorders>
            <w:shd w:val="clear" w:color="auto" w:fill="auto"/>
            <w:vAlign w:val="center"/>
          </w:tcPr>
          <w:p w14:paraId="2E42D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8" w:type="pct"/>
            <w:tcBorders>
              <w:tl2br w:val="nil"/>
              <w:tr2bl w:val="nil"/>
            </w:tcBorders>
            <w:shd w:val="clear" w:color="auto" w:fill="auto"/>
            <w:vAlign w:val="center"/>
          </w:tcPr>
          <w:p w14:paraId="436B5A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控制组件</w:t>
            </w:r>
          </w:p>
        </w:tc>
        <w:tc>
          <w:tcPr>
            <w:tcW w:w="1773" w:type="pct"/>
            <w:tcBorders>
              <w:tl2br w:val="nil"/>
              <w:tr2bl w:val="nil"/>
            </w:tcBorders>
            <w:shd w:val="clear" w:color="auto" w:fill="auto"/>
            <w:vAlign w:val="center"/>
          </w:tcPr>
          <w:p w14:paraId="0DDCDC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移动式消防炮能够通过手持无线遥控控制装置，实现自动行走、遥控行走、消防炮的旋转、升降及视频信息的监控,遥控距离≥150m；</w:t>
            </w:r>
          </w:p>
          <w:p w14:paraId="392C4ED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能够通过无线遥控装置实现消防炮的上下及左右旋转，在移动式消防炮行驶到指定位置后，可实现对被保护对象的全方位立体喷洒保护</w:t>
            </w:r>
          </w:p>
        </w:tc>
        <w:tc>
          <w:tcPr>
            <w:tcW w:w="313" w:type="pct"/>
            <w:tcBorders>
              <w:tl2br w:val="nil"/>
              <w:tr2bl w:val="nil"/>
            </w:tcBorders>
            <w:shd w:val="clear" w:color="auto" w:fill="auto"/>
            <w:vAlign w:val="center"/>
          </w:tcPr>
          <w:p w14:paraId="5BFCB8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215" w:type="pct"/>
            <w:tcBorders>
              <w:tl2br w:val="nil"/>
              <w:tr2bl w:val="nil"/>
            </w:tcBorders>
            <w:shd w:val="clear" w:color="auto" w:fill="auto"/>
            <w:vAlign w:val="center"/>
          </w:tcPr>
          <w:p w14:paraId="734DEC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7" w:type="pct"/>
            <w:tcBorders>
              <w:tl2br w:val="nil"/>
              <w:tr2bl w:val="nil"/>
            </w:tcBorders>
            <w:shd w:val="clear" w:color="auto" w:fill="auto"/>
            <w:vAlign w:val="center"/>
          </w:tcPr>
          <w:p w14:paraId="0CD0F4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5699FA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6FAA62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continue"/>
            <w:tcBorders>
              <w:tl2br w:val="nil"/>
              <w:tr2bl w:val="nil"/>
            </w:tcBorders>
            <w:shd w:val="clear" w:color="auto" w:fill="auto"/>
            <w:vAlign w:val="center"/>
          </w:tcPr>
          <w:p w14:paraId="3919F7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24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8" w:hRule="atLeast"/>
        </w:trPr>
        <w:tc>
          <w:tcPr>
            <w:tcW w:w="327" w:type="pct"/>
            <w:vMerge w:val="continue"/>
            <w:tcBorders>
              <w:tl2br w:val="nil"/>
              <w:tr2bl w:val="nil"/>
            </w:tcBorders>
            <w:shd w:val="clear" w:color="auto" w:fill="auto"/>
            <w:vAlign w:val="center"/>
          </w:tcPr>
          <w:p w14:paraId="0CDD5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8" w:type="pct"/>
            <w:tcBorders>
              <w:tl2br w:val="nil"/>
              <w:tr2bl w:val="nil"/>
            </w:tcBorders>
            <w:shd w:val="clear" w:color="auto" w:fill="auto"/>
            <w:vAlign w:val="center"/>
          </w:tcPr>
          <w:p w14:paraId="2BB1E7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喷射组件</w:t>
            </w:r>
          </w:p>
        </w:tc>
        <w:tc>
          <w:tcPr>
            <w:tcW w:w="1773" w:type="pct"/>
            <w:tcBorders>
              <w:tl2br w:val="nil"/>
              <w:tr2bl w:val="nil"/>
            </w:tcBorders>
            <w:shd w:val="clear" w:color="auto" w:fill="auto"/>
            <w:vAlign w:val="center"/>
          </w:tcPr>
          <w:p w14:paraId="359738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回转角：±170°；</w:t>
            </w:r>
          </w:p>
          <w:p w14:paraId="730339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俯仰角：0-135°；</w:t>
            </w:r>
          </w:p>
          <w:p w14:paraId="6D5338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喷射流量≥40 L/s</w:t>
            </w:r>
          </w:p>
          <w:p w14:paraId="60FC01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喷射介质：水或者泡沫</w:t>
            </w:r>
          </w:p>
          <w:p w14:paraId="79FCAD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射程：≥45m</w:t>
            </w:r>
          </w:p>
          <w:p w14:paraId="758DDC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水带接口管径：与现场消防管网相匹配，提供水带接口；</w:t>
            </w:r>
          </w:p>
          <w:p w14:paraId="7A6654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水带长度：≥100m</w:t>
            </w:r>
          </w:p>
          <w:p w14:paraId="1E94A6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最大喷射压力：≥1.6 Mpa</w:t>
            </w:r>
          </w:p>
          <w:p w14:paraId="7E52A1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机器人续航≥10km</w:t>
            </w:r>
          </w:p>
          <w:p w14:paraId="7D071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充电电压：DC48V</w:t>
            </w:r>
          </w:p>
          <w:p w14:paraId="482456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当热辐射较大时，可开启喷淋电磁阀，对机器人车身和轮胎进行降温；</w:t>
            </w:r>
          </w:p>
        </w:tc>
        <w:tc>
          <w:tcPr>
            <w:tcW w:w="313" w:type="pct"/>
            <w:tcBorders>
              <w:tl2br w:val="nil"/>
              <w:tr2bl w:val="nil"/>
            </w:tcBorders>
            <w:shd w:val="clear" w:color="auto" w:fill="auto"/>
            <w:vAlign w:val="center"/>
          </w:tcPr>
          <w:p w14:paraId="2DC6D0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215" w:type="pct"/>
            <w:tcBorders>
              <w:tl2br w:val="nil"/>
              <w:tr2bl w:val="nil"/>
            </w:tcBorders>
            <w:shd w:val="clear" w:color="auto" w:fill="auto"/>
            <w:vAlign w:val="center"/>
          </w:tcPr>
          <w:p w14:paraId="051F54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7" w:type="pct"/>
            <w:tcBorders>
              <w:tl2br w:val="nil"/>
              <w:tr2bl w:val="nil"/>
            </w:tcBorders>
            <w:shd w:val="clear" w:color="auto" w:fill="auto"/>
            <w:vAlign w:val="center"/>
          </w:tcPr>
          <w:p w14:paraId="10CB35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018786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3E4FA4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continue"/>
            <w:tcBorders>
              <w:tl2br w:val="nil"/>
              <w:tr2bl w:val="nil"/>
            </w:tcBorders>
            <w:shd w:val="clear" w:color="auto" w:fill="auto"/>
            <w:vAlign w:val="center"/>
          </w:tcPr>
          <w:p w14:paraId="11018A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08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327" w:type="pct"/>
            <w:vMerge w:val="continue"/>
            <w:tcBorders>
              <w:tl2br w:val="nil"/>
              <w:tr2bl w:val="nil"/>
            </w:tcBorders>
            <w:shd w:val="clear" w:color="auto" w:fill="auto"/>
            <w:vAlign w:val="center"/>
          </w:tcPr>
          <w:p w14:paraId="1137B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w:t>
            </w:r>
          </w:p>
        </w:tc>
        <w:tc>
          <w:tcPr>
            <w:tcW w:w="518" w:type="pct"/>
            <w:tcBorders>
              <w:tl2br w:val="nil"/>
              <w:tr2bl w:val="nil"/>
            </w:tcBorders>
            <w:shd w:val="clear" w:color="auto" w:fill="auto"/>
            <w:vAlign w:val="center"/>
          </w:tcPr>
          <w:p w14:paraId="5E9800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视频采集传输装置</w:t>
            </w:r>
          </w:p>
        </w:tc>
        <w:tc>
          <w:tcPr>
            <w:tcW w:w="1773" w:type="pct"/>
            <w:tcBorders>
              <w:tl2br w:val="nil"/>
              <w:tr2bl w:val="nil"/>
            </w:tcBorders>
            <w:shd w:val="clear" w:color="auto" w:fill="auto"/>
            <w:vAlign w:val="center"/>
          </w:tcPr>
          <w:p w14:paraId="3DF54B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行车影像：360°全景</w:t>
            </w:r>
          </w:p>
          <w:p w14:paraId="595AC4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喷射口视频画面：红外热成像+可见光；</w:t>
            </w:r>
          </w:p>
          <w:p w14:paraId="76E90F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消防炮在任意位置时均可观察到被保护设备现场的环境视频信息；</w:t>
            </w:r>
          </w:p>
        </w:tc>
        <w:tc>
          <w:tcPr>
            <w:tcW w:w="313" w:type="pct"/>
            <w:tcBorders>
              <w:tl2br w:val="nil"/>
              <w:tr2bl w:val="nil"/>
            </w:tcBorders>
            <w:shd w:val="clear" w:color="auto" w:fill="auto"/>
            <w:vAlign w:val="center"/>
          </w:tcPr>
          <w:p w14:paraId="5FF75F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215" w:type="pct"/>
            <w:tcBorders>
              <w:tl2br w:val="nil"/>
              <w:tr2bl w:val="nil"/>
            </w:tcBorders>
            <w:shd w:val="clear" w:color="auto" w:fill="auto"/>
            <w:vAlign w:val="center"/>
          </w:tcPr>
          <w:p w14:paraId="72CC69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7" w:type="pct"/>
            <w:tcBorders>
              <w:tl2br w:val="nil"/>
              <w:tr2bl w:val="nil"/>
            </w:tcBorders>
            <w:shd w:val="clear" w:color="auto" w:fill="auto"/>
            <w:vAlign w:val="center"/>
          </w:tcPr>
          <w:p w14:paraId="145F832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7FB112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10E8E1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continue"/>
            <w:tcBorders>
              <w:tl2br w:val="nil"/>
              <w:tr2bl w:val="nil"/>
            </w:tcBorders>
            <w:shd w:val="clear" w:color="auto" w:fill="auto"/>
            <w:vAlign w:val="center"/>
          </w:tcPr>
          <w:p w14:paraId="31D408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0F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327" w:type="pct"/>
            <w:vMerge w:val="continue"/>
            <w:tcBorders>
              <w:tl2br w:val="nil"/>
              <w:tr2bl w:val="nil"/>
            </w:tcBorders>
            <w:shd w:val="clear" w:color="auto" w:fill="auto"/>
            <w:vAlign w:val="center"/>
          </w:tcPr>
          <w:p w14:paraId="47529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8" w:type="pct"/>
            <w:tcBorders>
              <w:tl2br w:val="nil"/>
              <w:tr2bl w:val="nil"/>
            </w:tcBorders>
            <w:shd w:val="clear" w:color="auto" w:fill="auto"/>
            <w:vAlign w:val="center"/>
          </w:tcPr>
          <w:p w14:paraId="68F21E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水带及转换接口</w:t>
            </w:r>
          </w:p>
        </w:tc>
        <w:tc>
          <w:tcPr>
            <w:tcW w:w="1773" w:type="pct"/>
            <w:tcBorders>
              <w:tl2br w:val="nil"/>
              <w:tr2bl w:val="nil"/>
            </w:tcBorders>
            <w:shd w:val="clear" w:color="auto" w:fill="auto"/>
            <w:vAlign w:val="center"/>
          </w:tcPr>
          <w:p w14:paraId="2A653A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连接CAFS和消防灭火终端的消防水龙带；含水带储存箱型号和长度由厂家根据现场实际情况配置；水龙带直径≥DN80；水龙带条数：由厂家根据实际情况配置PN=1.6MPa。设计工作压力1.6MPa，轴向延伸率和直径膨胀率不应大于5%</w:t>
            </w:r>
          </w:p>
        </w:tc>
        <w:tc>
          <w:tcPr>
            <w:tcW w:w="313" w:type="pct"/>
            <w:tcBorders>
              <w:tl2br w:val="nil"/>
              <w:tr2bl w:val="nil"/>
            </w:tcBorders>
            <w:shd w:val="clear" w:color="auto" w:fill="auto"/>
            <w:vAlign w:val="center"/>
          </w:tcPr>
          <w:p w14:paraId="7ADD6E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215" w:type="pct"/>
            <w:tcBorders>
              <w:tl2br w:val="nil"/>
              <w:tr2bl w:val="nil"/>
            </w:tcBorders>
            <w:shd w:val="clear" w:color="auto" w:fill="auto"/>
            <w:vAlign w:val="center"/>
          </w:tcPr>
          <w:p w14:paraId="564434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7" w:type="pct"/>
            <w:tcBorders>
              <w:tl2br w:val="nil"/>
              <w:tr2bl w:val="nil"/>
            </w:tcBorders>
            <w:shd w:val="clear" w:color="auto" w:fill="auto"/>
            <w:vAlign w:val="center"/>
          </w:tcPr>
          <w:p w14:paraId="3186E6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0F2E07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7B16C4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continue"/>
            <w:tcBorders>
              <w:tl2br w:val="nil"/>
              <w:tr2bl w:val="nil"/>
            </w:tcBorders>
            <w:shd w:val="clear" w:color="auto" w:fill="auto"/>
            <w:vAlign w:val="center"/>
          </w:tcPr>
          <w:p w14:paraId="5A2F22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83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6" w:hRule="atLeast"/>
        </w:trPr>
        <w:tc>
          <w:tcPr>
            <w:tcW w:w="327" w:type="pct"/>
            <w:vMerge w:val="continue"/>
            <w:tcBorders>
              <w:tl2br w:val="nil"/>
              <w:tr2bl w:val="nil"/>
            </w:tcBorders>
            <w:shd w:val="clear" w:color="auto" w:fill="auto"/>
            <w:vAlign w:val="center"/>
          </w:tcPr>
          <w:p w14:paraId="1B74D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8" w:type="pct"/>
            <w:tcBorders>
              <w:tl2br w:val="nil"/>
              <w:tr2bl w:val="nil"/>
            </w:tcBorders>
            <w:shd w:val="clear" w:color="auto" w:fill="auto"/>
            <w:vAlign w:val="center"/>
          </w:tcPr>
          <w:p w14:paraId="112078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预制舱</w:t>
            </w:r>
          </w:p>
        </w:tc>
        <w:tc>
          <w:tcPr>
            <w:tcW w:w="1773" w:type="pct"/>
            <w:tcBorders>
              <w:tl2br w:val="nil"/>
              <w:tr2bl w:val="nil"/>
            </w:tcBorders>
            <w:shd w:val="clear" w:color="auto" w:fill="auto"/>
            <w:vAlign w:val="top"/>
          </w:tcPr>
          <w:p w14:paraId="080487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（1）集装箱设计寿命应不小于25年；</w:t>
            </w:r>
          </w:p>
          <w:p w14:paraId="1E695E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（2）集装箱应根据站址的极端环境温度、湿度，对集装箱采取相应的保温、防冻、防风沙、通风、防潮、防结露等措施；</w:t>
            </w:r>
          </w:p>
          <w:p w14:paraId="358DC2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集装箱外壳应不积尘、积水，箱体顶盖应有明显散水坡度，不影响集装箱总高的情况下应不小于5%；顶盖边沿应密封性能良好，防止雨水回流进入箱体，箱体制作应尽可能少用外露紧固件，以免螺钉穿通外壳使水导入箱内，整体防护等级不低于IP54；</w:t>
            </w:r>
          </w:p>
          <w:p w14:paraId="6D292D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（4）使用应急灯、照明灯、开关、插座等型号、安装位置和颜色应保持一致；</w:t>
            </w:r>
          </w:p>
          <w:p w14:paraId="42A64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箱体需保证密封，不漏水，每个开门均需配备防风钩，门槛不高于50mm，设备进出安装门门槛不高于20mm，每个门上方需安装可拆卸的雨檐，用于挡雨，门四周需设计内、外密封条（密封条需保证与箱体面接触），并配四管防水密封胶和一个打胶器，门上丝印有电危险标识（英文版）；</w:t>
            </w:r>
          </w:p>
          <w:p w14:paraId="1F1ECF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（6）所有门均须有双层密封条密封，且门底部胶条与箱体须面接触，保证沙尘无法进入。</w:t>
            </w:r>
          </w:p>
        </w:tc>
        <w:tc>
          <w:tcPr>
            <w:tcW w:w="313" w:type="pct"/>
            <w:tcBorders>
              <w:tl2br w:val="nil"/>
              <w:tr2bl w:val="nil"/>
            </w:tcBorders>
            <w:shd w:val="clear" w:color="auto" w:fill="auto"/>
            <w:vAlign w:val="center"/>
          </w:tcPr>
          <w:p w14:paraId="73836C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215" w:type="pct"/>
            <w:tcBorders>
              <w:tl2br w:val="nil"/>
              <w:tr2bl w:val="nil"/>
            </w:tcBorders>
            <w:shd w:val="clear" w:color="auto" w:fill="auto"/>
            <w:vAlign w:val="center"/>
          </w:tcPr>
          <w:p w14:paraId="2BC7B9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7" w:type="pct"/>
            <w:tcBorders>
              <w:tl2br w:val="nil"/>
              <w:tr2bl w:val="nil"/>
            </w:tcBorders>
            <w:shd w:val="clear" w:color="auto" w:fill="auto"/>
            <w:vAlign w:val="center"/>
          </w:tcPr>
          <w:p w14:paraId="7AAF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3FFDD1D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1380CB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continue"/>
            <w:tcBorders>
              <w:tl2br w:val="nil"/>
              <w:tr2bl w:val="nil"/>
            </w:tcBorders>
            <w:shd w:val="clear" w:color="auto" w:fill="auto"/>
            <w:vAlign w:val="center"/>
          </w:tcPr>
          <w:p w14:paraId="2B1F20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B2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9" w:hRule="atLeast"/>
        </w:trPr>
        <w:tc>
          <w:tcPr>
            <w:tcW w:w="327" w:type="pct"/>
            <w:vMerge w:val="continue"/>
            <w:tcBorders>
              <w:tl2br w:val="nil"/>
              <w:tr2bl w:val="nil"/>
            </w:tcBorders>
            <w:shd w:val="clear" w:color="auto" w:fill="auto"/>
            <w:vAlign w:val="center"/>
          </w:tcPr>
          <w:p w14:paraId="383E7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8" w:type="pct"/>
            <w:tcBorders>
              <w:tl2br w:val="nil"/>
              <w:tr2bl w:val="nil"/>
            </w:tcBorders>
            <w:shd w:val="clear" w:color="auto" w:fill="auto"/>
            <w:vAlign w:val="center"/>
          </w:tcPr>
          <w:p w14:paraId="7EE154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调试终端</w:t>
            </w:r>
          </w:p>
        </w:tc>
        <w:tc>
          <w:tcPr>
            <w:tcW w:w="1773" w:type="pct"/>
            <w:tcBorders>
              <w:tl2br w:val="nil"/>
              <w:tr2bl w:val="nil"/>
            </w:tcBorders>
            <w:shd w:val="clear" w:color="auto" w:fill="auto"/>
            <w:vAlign w:val="center"/>
          </w:tcPr>
          <w:p w14:paraId="343272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CPU:睿频≥4.8GHz，核心数≥8，带核显，AI总算力≥115TOPS，制程3nm;</w:t>
            </w:r>
          </w:p>
          <w:p w14:paraId="07454A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内存：≥32G;</w:t>
            </w:r>
          </w:p>
          <w:p w14:paraId="5D110B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硬盘：≥2T</w:t>
            </w:r>
          </w:p>
          <w:p w14:paraId="7C6D2E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屏幕分辨率：≥2880*1800；</w:t>
            </w:r>
          </w:p>
          <w:p w14:paraId="7FD748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亮度：≥400尼特；</w:t>
            </w:r>
          </w:p>
          <w:p w14:paraId="749C8B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屏幕材质：OLED。</w:t>
            </w:r>
          </w:p>
        </w:tc>
        <w:tc>
          <w:tcPr>
            <w:tcW w:w="313" w:type="pct"/>
            <w:tcBorders>
              <w:tl2br w:val="nil"/>
              <w:tr2bl w:val="nil"/>
            </w:tcBorders>
            <w:shd w:val="clear" w:color="auto" w:fill="auto"/>
            <w:vAlign w:val="center"/>
          </w:tcPr>
          <w:p w14:paraId="43AA745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215" w:type="pct"/>
            <w:tcBorders>
              <w:tl2br w:val="nil"/>
              <w:tr2bl w:val="nil"/>
            </w:tcBorders>
            <w:shd w:val="clear" w:color="auto" w:fill="auto"/>
            <w:vAlign w:val="center"/>
          </w:tcPr>
          <w:p w14:paraId="4B0D53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7" w:type="pct"/>
            <w:tcBorders>
              <w:tl2br w:val="nil"/>
              <w:tr2bl w:val="nil"/>
            </w:tcBorders>
            <w:shd w:val="clear" w:color="auto" w:fill="auto"/>
            <w:vAlign w:val="center"/>
          </w:tcPr>
          <w:p w14:paraId="2A66C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接到供货通知20日内</w:t>
            </w:r>
          </w:p>
        </w:tc>
        <w:tc>
          <w:tcPr>
            <w:tcW w:w="361" w:type="pct"/>
            <w:tcBorders>
              <w:tl2br w:val="nil"/>
              <w:tr2bl w:val="nil"/>
            </w:tcBorders>
            <w:shd w:val="clear" w:color="auto" w:fill="auto"/>
            <w:vAlign w:val="center"/>
          </w:tcPr>
          <w:p w14:paraId="07F4A7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36个月</w:t>
            </w:r>
          </w:p>
        </w:tc>
        <w:tc>
          <w:tcPr>
            <w:tcW w:w="588" w:type="pct"/>
            <w:tcBorders>
              <w:tl2br w:val="nil"/>
              <w:tr2bl w:val="nil"/>
            </w:tcBorders>
            <w:shd w:val="clear" w:color="auto" w:fill="auto"/>
            <w:vAlign w:val="center"/>
          </w:tcPr>
          <w:p w14:paraId="29CD8A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604" w:type="pct"/>
            <w:vMerge w:val="continue"/>
            <w:tcBorders>
              <w:tl2br w:val="nil"/>
              <w:tr2bl w:val="nil"/>
            </w:tcBorders>
            <w:shd w:val="clear" w:color="auto" w:fill="auto"/>
            <w:vAlign w:val="center"/>
          </w:tcPr>
          <w:p w14:paraId="4BAE7F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317C32AC">
      <w:pPr>
        <w:pStyle w:val="3"/>
        <w:rPr>
          <w:rFonts w:hint="eastAsia"/>
          <w:color w:val="auto"/>
          <w:highlight w:val="none"/>
        </w:rPr>
      </w:pPr>
    </w:p>
    <w:p w14:paraId="44FDDF71">
      <w:pPr>
        <w:pStyle w:val="12"/>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具体供货不局限于上述产品。应包括上述产品相关配件，类似升级产品。所供货产品需包含所必须的软件系统，以确保设备能正常运行，满足招标方正常使用需求</w:t>
      </w:r>
      <w:r>
        <w:rPr>
          <w:rFonts w:hint="eastAsia" w:asciiTheme="minorEastAsia" w:hAnsiTheme="minorEastAsia" w:eastAsiaTheme="minorEastAsia" w:cstheme="minorEastAsia"/>
          <w:color w:val="auto"/>
          <w:sz w:val="24"/>
          <w:szCs w:val="24"/>
          <w:highlight w:val="none"/>
        </w:rPr>
        <w:t>。</w:t>
      </w:r>
    </w:p>
    <w:p w14:paraId="0D2B628F">
      <w:pPr>
        <w:pStyle w:val="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1CD443C7">
      <w:pPr>
        <w:pStyle w:val="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1.取得《国家电网有限公司集中规模招标采购供应商资质能力核实证明》</w:t>
      </w:r>
      <w:r>
        <w:rPr>
          <w:rFonts w:hint="eastAsia" w:asciiTheme="minorEastAsia" w:hAnsiTheme="minorEastAsia" w:eastAsiaTheme="minorEastAsia" w:cstheme="minorEastAsia"/>
          <w:color w:val="auto"/>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D26887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F268">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0E85C8">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0E85C8">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15EAA58">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15EAA58">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142010B"/>
    <w:rsid w:val="22BC120E"/>
    <w:rsid w:val="22F71DBE"/>
    <w:rsid w:val="26BD5819"/>
    <w:rsid w:val="28455ABC"/>
    <w:rsid w:val="2E921F17"/>
    <w:rsid w:val="2EBF6414"/>
    <w:rsid w:val="42CE694E"/>
    <w:rsid w:val="4AA15384"/>
    <w:rsid w:val="4ABD7A75"/>
    <w:rsid w:val="4D2E620D"/>
    <w:rsid w:val="4F403134"/>
    <w:rsid w:val="511E0452"/>
    <w:rsid w:val="51340035"/>
    <w:rsid w:val="516A3318"/>
    <w:rsid w:val="536F1D02"/>
    <w:rsid w:val="637846F9"/>
    <w:rsid w:val="699B2708"/>
    <w:rsid w:val="6B0F6C92"/>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4">
    <w:name w:val="annotation text"/>
    <w:basedOn w:val="1"/>
    <w:qFormat/>
    <w:uiPriority w:val="0"/>
    <w:pPr>
      <w:jc w:val="left"/>
    </w:p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Body Text First Indent 2"/>
    <w:basedOn w:val="5"/>
    <w:autoRedefine/>
    <w:qFormat/>
    <w:uiPriority w:val="0"/>
    <w:pPr>
      <w:ind w:firstLine="420"/>
    </w:p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6157</Words>
  <Characters>6787</Characters>
  <Lines>0</Lines>
  <Paragraphs>0</Paragraphs>
  <TotalTime>7</TotalTime>
  <ScaleCrop>false</ScaleCrop>
  <LinksUpToDate>false</LinksUpToDate>
  <CharactersWithSpaces>6813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2025-04-02T09:10:40Z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4D16ABC42F0A48C4A4CA67CC76B0BF28_13</vt:lpwstr>
  </property>
  <property fmtid="{D5CDD505-2E9C-101B-9397-08002B2CF9AE}" pid="4" name="KSOTemplateDocerSaveRecord">
    <vt:lpwstr>eyJoZGlkIjoiNzcwY2M5NGVmY2Y5YTVkMTJmMzEwY2NlODY1MmIwYTMiLCJ1c2VySWQiOiI5NjA4MzkzNTgifQ==</vt:lpwstr>
  </property>
</Properties>
</file>