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63D0">
      <w:pPr>
        <w:pStyle w:val="5"/>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tbl>
      <w:tblPr>
        <w:tblStyle w:val="9"/>
        <w:tblW w:w="141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83"/>
        <w:gridCol w:w="4264"/>
        <w:gridCol w:w="730"/>
        <w:gridCol w:w="740"/>
        <w:gridCol w:w="710"/>
        <w:gridCol w:w="840"/>
        <w:gridCol w:w="2350"/>
        <w:gridCol w:w="2150"/>
      </w:tblGrid>
      <w:tr w14:paraId="369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33" w:type="dxa"/>
            <w:vAlign w:val="center"/>
          </w:tcPr>
          <w:p w14:paraId="3BCEC27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项目名称及包号</w:t>
            </w:r>
          </w:p>
        </w:tc>
        <w:tc>
          <w:tcPr>
            <w:tcW w:w="1383" w:type="dxa"/>
            <w:vAlign w:val="center"/>
          </w:tcPr>
          <w:p w14:paraId="61DBCBF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4264" w:type="dxa"/>
            <w:vAlign w:val="center"/>
          </w:tcPr>
          <w:p w14:paraId="098634A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30" w:type="dxa"/>
            <w:vAlign w:val="center"/>
          </w:tcPr>
          <w:p w14:paraId="306360E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40" w:type="dxa"/>
            <w:vAlign w:val="center"/>
          </w:tcPr>
          <w:p w14:paraId="25B3626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10" w:type="dxa"/>
            <w:vAlign w:val="center"/>
          </w:tcPr>
          <w:p w14:paraId="32F8885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w:t>
            </w:r>
          </w:p>
        </w:tc>
        <w:tc>
          <w:tcPr>
            <w:tcW w:w="840" w:type="dxa"/>
            <w:vAlign w:val="center"/>
          </w:tcPr>
          <w:p w14:paraId="4478074F">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质保期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不低于</w:t>
            </w:r>
            <w:r>
              <w:rPr>
                <w:rFonts w:hint="eastAsia" w:ascii="宋体" w:hAnsi="宋体" w:eastAsia="宋体" w:cs="宋体"/>
                <w:b/>
                <w:bCs/>
                <w:color w:val="auto"/>
                <w:kern w:val="0"/>
                <w:sz w:val="24"/>
                <w:szCs w:val="24"/>
                <w:highlight w:val="none"/>
                <w:lang w:eastAsia="zh-CN"/>
              </w:rPr>
              <w:t>）</w:t>
            </w:r>
          </w:p>
        </w:tc>
        <w:tc>
          <w:tcPr>
            <w:tcW w:w="2350" w:type="dxa"/>
            <w:vAlign w:val="center"/>
          </w:tcPr>
          <w:p w14:paraId="432BCEE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专用资质要求</w:t>
            </w:r>
          </w:p>
        </w:tc>
        <w:tc>
          <w:tcPr>
            <w:tcW w:w="2150" w:type="dxa"/>
            <w:vAlign w:val="center"/>
          </w:tcPr>
          <w:p w14:paraId="5177FEF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w:t>
            </w: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r>
      <w:tr w14:paraId="68AB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restart"/>
            <w:vAlign w:val="center"/>
          </w:tcPr>
          <w:p w14:paraId="7411B9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bidi="ar"/>
              </w:rPr>
              <w:t>变电站保护压板监测装置安装调试项目</w:t>
            </w:r>
          </w:p>
        </w:tc>
        <w:tc>
          <w:tcPr>
            <w:tcW w:w="1383" w:type="dxa"/>
            <w:vAlign w:val="center"/>
          </w:tcPr>
          <w:p w14:paraId="2E156918">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220kV变电站压板在线监测系统勘察</w:t>
            </w:r>
          </w:p>
        </w:tc>
        <w:tc>
          <w:tcPr>
            <w:tcW w:w="4264" w:type="dxa"/>
            <w:vAlign w:val="center"/>
          </w:tcPr>
          <w:p w14:paraId="6993812F">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根据甲方及相关标准要求，完成220kV变电站压板在线监测系统现场勘察，主要包括项目现场设备及环境等资料搜集、记录、拍照等，并输出</w:t>
            </w:r>
            <w:r>
              <w:rPr>
                <w:rFonts w:hint="eastAsia" w:ascii="宋体" w:hAnsi="宋体" w:eastAsia="宋体" w:cs="宋体"/>
                <w:color w:val="auto"/>
                <w:kern w:val="0"/>
                <w:sz w:val="24"/>
                <w:szCs w:val="24"/>
                <w:highlight w:val="none"/>
                <w:lang w:eastAsia="zh-CN"/>
              </w:rPr>
              <w:t>勘察记录</w:t>
            </w:r>
            <w:r>
              <w:rPr>
                <w:rFonts w:hint="eastAsia" w:ascii="宋体" w:hAnsi="宋体" w:eastAsia="宋体" w:cs="宋体"/>
                <w:color w:val="auto"/>
                <w:kern w:val="0"/>
                <w:sz w:val="24"/>
                <w:szCs w:val="24"/>
                <w:highlight w:val="none"/>
                <w:lang w:val="en-US" w:eastAsia="zh-CN"/>
              </w:rPr>
              <w:t>，通过甲方及业主方验收。</w:t>
            </w:r>
          </w:p>
        </w:tc>
        <w:tc>
          <w:tcPr>
            <w:tcW w:w="730" w:type="dxa"/>
            <w:vAlign w:val="center"/>
          </w:tcPr>
          <w:p w14:paraId="3FB77FD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740" w:type="dxa"/>
            <w:vAlign w:val="center"/>
          </w:tcPr>
          <w:p w14:paraId="574DB5D7">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6F3AF15A">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4A48943C">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restart"/>
            <w:vAlign w:val="center"/>
          </w:tcPr>
          <w:p w14:paraId="21E803E6">
            <w:pPr>
              <w:widowControl/>
              <w:adjustRightInd w:val="0"/>
              <w:snapToGrid w:val="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有效的安全生产许可证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具备有效的安全生产许可证</w:t>
            </w:r>
            <w:r>
              <w:rPr>
                <w:rFonts w:hint="eastAsia" w:ascii="宋体" w:hAnsi="宋体" w:eastAsia="宋体" w:cs="宋体"/>
                <w:color w:val="auto"/>
                <w:kern w:val="0"/>
                <w:sz w:val="24"/>
                <w:szCs w:val="24"/>
                <w:highlight w:val="none"/>
                <w:lang w:eastAsia="zh-CN"/>
              </w:rPr>
              <w:t>。</w:t>
            </w:r>
          </w:p>
          <w:p w14:paraId="5CF1FD1B">
            <w:pPr>
              <w:widowControl/>
              <w:adjustRightInd w:val="0"/>
              <w:snapToGrid w:val="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有效的资质等级证书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具备建筑机电安装工程专业承包三级及以上或电子与智能化工程专业承包二级及以上或输变电工程专业承包三级及以上或电力工程施工总承包三级及以上或承装电力设施五级及以上许可证</w:t>
            </w:r>
            <w:r>
              <w:rPr>
                <w:rFonts w:hint="eastAsia" w:ascii="宋体" w:hAnsi="宋体" w:eastAsia="宋体" w:cs="宋体"/>
                <w:color w:val="auto"/>
                <w:kern w:val="0"/>
                <w:sz w:val="24"/>
                <w:szCs w:val="24"/>
                <w:highlight w:val="none"/>
                <w:lang w:eastAsia="zh-CN"/>
              </w:rPr>
              <w:t>。</w:t>
            </w:r>
          </w:p>
          <w:p w14:paraId="0C99CDEB">
            <w:pPr>
              <w:widowControl/>
              <w:adjustRightInd w:val="0"/>
              <w:snapToGrid w:val="0"/>
              <w:jc w:val="center"/>
              <w:rPr>
                <w:rFonts w:hint="eastAsia"/>
                <w:color w:val="auto"/>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不接受联合体投标</w:t>
            </w:r>
          </w:p>
        </w:tc>
        <w:tc>
          <w:tcPr>
            <w:tcW w:w="2150" w:type="dxa"/>
            <w:vMerge w:val="restart"/>
            <w:vAlign w:val="center"/>
          </w:tcPr>
          <w:p w14:paraId="6ECFFEB6">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年1月1日至招标采购公告发布日止，投标方完成过变电站智巡系统</w:t>
            </w:r>
            <w:r>
              <w:rPr>
                <w:rFonts w:hint="eastAsia" w:ascii="宋体" w:hAnsi="宋体" w:eastAsia="宋体" w:cs="宋体"/>
                <w:color w:val="auto"/>
                <w:kern w:val="0"/>
                <w:sz w:val="24"/>
                <w:szCs w:val="24"/>
                <w:highlight w:val="none"/>
                <w:lang w:val="en-US" w:eastAsia="zh-CN"/>
              </w:rPr>
              <w:t>或辅控系统或</w:t>
            </w:r>
            <w:r>
              <w:rPr>
                <w:rFonts w:hint="eastAsia" w:ascii="宋体" w:hAnsi="宋体" w:eastAsia="宋体" w:cs="宋体"/>
                <w:color w:val="auto"/>
                <w:kern w:val="0"/>
                <w:sz w:val="24"/>
                <w:szCs w:val="24"/>
                <w:highlight w:val="none"/>
              </w:rPr>
              <w:t>保护装置</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安装、调试业绩不少于2份，合同额累计不少于</w:t>
            </w:r>
            <w:r>
              <w:rPr>
                <w:rFonts w:hint="eastAsia" w:ascii="宋体" w:hAnsi="宋体" w:eastAsia="宋体" w:cs="宋体"/>
                <w:color w:val="auto"/>
                <w:kern w:val="0"/>
                <w:sz w:val="24"/>
                <w:szCs w:val="24"/>
                <w:highlight w:val="none"/>
                <w:lang w:val="en-US" w:eastAsia="zh-CN"/>
              </w:rPr>
              <w:t>200元。注：业绩必须提供对应的合同复印件。</w:t>
            </w:r>
          </w:p>
        </w:tc>
      </w:tr>
      <w:tr w14:paraId="2A2E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34279473">
            <w:pPr>
              <w:widowControl/>
              <w:jc w:val="center"/>
              <w:rPr>
                <w:rFonts w:hint="eastAsia" w:ascii="宋体" w:hAnsi="宋体" w:eastAsia="宋体" w:cs="宋体"/>
                <w:color w:val="auto"/>
                <w:kern w:val="0"/>
                <w:sz w:val="24"/>
                <w:szCs w:val="24"/>
                <w:highlight w:val="none"/>
              </w:rPr>
            </w:pPr>
          </w:p>
        </w:tc>
        <w:tc>
          <w:tcPr>
            <w:tcW w:w="1383" w:type="dxa"/>
            <w:vAlign w:val="center"/>
          </w:tcPr>
          <w:p w14:paraId="5A4F994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110kV变电站压板在线监测系统勘察</w:t>
            </w:r>
          </w:p>
        </w:tc>
        <w:tc>
          <w:tcPr>
            <w:tcW w:w="4264" w:type="dxa"/>
            <w:vAlign w:val="center"/>
          </w:tcPr>
          <w:p w14:paraId="3F7EEDAC">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根据甲方及相关标准要求，完成110kV变电站压板在线监测系统现场勘察，主要包括项目现场设备及环境等资料搜集、记录、拍照等，并输出</w:t>
            </w:r>
            <w:r>
              <w:rPr>
                <w:rFonts w:hint="eastAsia" w:ascii="宋体" w:hAnsi="宋体" w:eastAsia="宋体" w:cs="宋体"/>
                <w:color w:val="auto"/>
                <w:kern w:val="0"/>
                <w:sz w:val="24"/>
                <w:szCs w:val="24"/>
                <w:highlight w:val="none"/>
                <w:lang w:eastAsia="zh-CN"/>
              </w:rPr>
              <w:t>勘察记录</w:t>
            </w:r>
            <w:r>
              <w:rPr>
                <w:rFonts w:hint="eastAsia" w:ascii="宋体" w:hAnsi="宋体" w:eastAsia="宋体" w:cs="宋体"/>
                <w:color w:val="auto"/>
                <w:kern w:val="0"/>
                <w:sz w:val="24"/>
                <w:szCs w:val="24"/>
                <w:highlight w:val="none"/>
                <w:lang w:val="en-US" w:eastAsia="zh-CN"/>
              </w:rPr>
              <w:t>，通过甲方及业主方验收。</w:t>
            </w:r>
          </w:p>
        </w:tc>
        <w:tc>
          <w:tcPr>
            <w:tcW w:w="730" w:type="dxa"/>
            <w:vAlign w:val="center"/>
          </w:tcPr>
          <w:p w14:paraId="390E6BE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740" w:type="dxa"/>
            <w:vAlign w:val="center"/>
          </w:tcPr>
          <w:p w14:paraId="259EDC00">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40DFCDF3">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7F6CCF4D">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79BC93E2">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769F9235">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7140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3F3CCFE3">
            <w:pPr>
              <w:widowControl/>
              <w:jc w:val="center"/>
              <w:rPr>
                <w:rFonts w:hint="eastAsia" w:ascii="宋体" w:hAnsi="宋体" w:eastAsia="宋体" w:cs="宋体"/>
                <w:color w:val="auto"/>
                <w:kern w:val="0"/>
                <w:sz w:val="24"/>
                <w:szCs w:val="24"/>
                <w:highlight w:val="none"/>
              </w:rPr>
            </w:pPr>
          </w:p>
        </w:tc>
        <w:tc>
          <w:tcPr>
            <w:tcW w:w="1383" w:type="dxa"/>
            <w:vAlign w:val="center"/>
          </w:tcPr>
          <w:p w14:paraId="54936084">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35kV变电站压板在线监测系统勘察</w:t>
            </w:r>
          </w:p>
        </w:tc>
        <w:tc>
          <w:tcPr>
            <w:tcW w:w="4264" w:type="dxa"/>
            <w:vAlign w:val="center"/>
          </w:tcPr>
          <w:p w14:paraId="1858585C">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根据甲方及相关标准要求，完成35kV变电站压板在线监测系统现场勘察，主要包括项目现场设备及环境等资料搜集、记录、拍照等，并输出</w:t>
            </w:r>
            <w:r>
              <w:rPr>
                <w:rFonts w:hint="eastAsia" w:ascii="宋体" w:hAnsi="宋体" w:eastAsia="宋体" w:cs="宋体"/>
                <w:color w:val="auto"/>
                <w:kern w:val="0"/>
                <w:sz w:val="24"/>
                <w:szCs w:val="24"/>
                <w:highlight w:val="none"/>
                <w:lang w:eastAsia="zh-CN"/>
              </w:rPr>
              <w:t>勘察记录</w:t>
            </w:r>
            <w:r>
              <w:rPr>
                <w:rFonts w:hint="eastAsia" w:ascii="宋体" w:hAnsi="宋体" w:eastAsia="宋体" w:cs="宋体"/>
                <w:color w:val="auto"/>
                <w:kern w:val="0"/>
                <w:sz w:val="24"/>
                <w:szCs w:val="24"/>
                <w:highlight w:val="none"/>
                <w:lang w:val="en-US" w:eastAsia="zh-CN"/>
              </w:rPr>
              <w:t>，通过甲方及业主方验收。</w:t>
            </w:r>
          </w:p>
        </w:tc>
        <w:tc>
          <w:tcPr>
            <w:tcW w:w="730" w:type="dxa"/>
            <w:vAlign w:val="center"/>
          </w:tcPr>
          <w:p w14:paraId="5EA6B39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740" w:type="dxa"/>
            <w:vAlign w:val="center"/>
          </w:tcPr>
          <w:p w14:paraId="6C0BB864">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2C748902">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71C8F710">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0F03F65C">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453BB946">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149D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0884DAB5">
            <w:pPr>
              <w:widowControl/>
              <w:jc w:val="center"/>
              <w:rPr>
                <w:rFonts w:hint="eastAsia" w:ascii="宋体" w:hAnsi="宋体" w:eastAsia="宋体" w:cs="宋体"/>
                <w:color w:val="auto"/>
                <w:kern w:val="0"/>
                <w:sz w:val="24"/>
                <w:szCs w:val="24"/>
                <w:highlight w:val="none"/>
              </w:rPr>
            </w:pPr>
          </w:p>
        </w:tc>
        <w:tc>
          <w:tcPr>
            <w:tcW w:w="1383" w:type="dxa"/>
            <w:vAlign w:val="center"/>
          </w:tcPr>
          <w:p w14:paraId="2BAD5503">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220kV变电站压板在线监测系统安装</w:t>
            </w:r>
          </w:p>
        </w:tc>
        <w:tc>
          <w:tcPr>
            <w:tcW w:w="4264" w:type="dxa"/>
            <w:vAlign w:val="center"/>
          </w:tcPr>
          <w:p w14:paraId="2F7DF89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根据甲方及相关标准要求，完成220kV变电站管理单元、采集单元、汇集单元安装、线缆敷设（含连接）以及相关辅材安装，满足设计方案要求，通过甲方及业主方验收。</w:t>
            </w:r>
          </w:p>
        </w:tc>
        <w:tc>
          <w:tcPr>
            <w:tcW w:w="730" w:type="dxa"/>
            <w:vAlign w:val="center"/>
          </w:tcPr>
          <w:p w14:paraId="689D03CD">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740" w:type="dxa"/>
            <w:vAlign w:val="center"/>
          </w:tcPr>
          <w:p w14:paraId="5EEDA98F">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2554D46F">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1FF4AC19">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75625FA0">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30257E64">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16EB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7D30679B">
            <w:pPr>
              <w:widowControl/>
              <w:jc w:val="center"/>
              <w:rPr>
                <w:rFonts w:hint="eastAsia" w:ascii="宋体" w:hAnsi="宋体" w:eastAsia="宋体" w:cs="宋体"/>
                <w:color w:val="auto"/>
                <w:kern w:val="0"/>
                <w:sz w:val="24"/>
                <w:szCs w:val="24"/>
                <w:highlight w:val="none"/>
              </w:rPr>
            </w:pPr>
          </w:p>
        </w:tc>
        <w:tc>
          <w:tcPr>
            <w:tcW w:w="1383" w:type="dxa"/>
            <w:vAlign w:val="center"/>
          </w:tcPr>
          <w:p w14:paraId="2B5265CC">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110kV变电站压板在线监测系统安装</w:t>
            </w:r>
          </w:p>
        </w:tc>
        <w:tc>
          <w:tcPr>
            <w:tcW w:w="4264" w:type="dxa"/>
            <w:vAlign w:val="center"/>
          </w:tcPr>
          <w:p w14:paraId="7FE4FC9D">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根据甲方及相关标准要求，完成110kV变电站管理单元、采集单元、汇集单元安装、线缆敷设（含连接）以及相关辅材安装，满足设计方案要求，通过甲方及业主方验收。</w:t>
            </w:r>
          </w:p>
        </w:tc>
        <w:tc>
          <w:tcPr>
            <w:tcW w:w="730" w:type="dxa"/>
            <w:vAlign w:val="center"/>
          </w:tcPr>
          <w:p w14:paraId="3E230A68">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740" w:type="dxa"/>
            <w:vAlign w:val="center"/>
          </w:tcPr>
          <w:p w14:paraId="689340DF">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7D259967">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28FD993C">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17A4914C">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65528475">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556F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31FF69B9">
            <w:pPr>
              <w:widowControl/>
              <w:jc w:val="center"/>
              <w:rPr>
                <w:rFonts w:hint="eastAsia" w:ascii="宋体" w:hAnsi="宋体" w:eastAsia="宋体" w:cs="宋体"/>
                <w:color w:val="auto"/>
                <w:kern w:val="0"/>
                <w:sz w:val="24"/>
                <w:szCs w:val="24"/>
                <w:highlight w:val="none"/>
              </w:rPr>
            </w:pPr>
          </w:p>
        </w:tc>
        <w:tc>
          <w:tcPr>
            <w:tcW w:w="1383" w:type="dxa"/>
            <w:vAlign w:val="center"/>
          </w:tcPr>
          <w:p w14:paraId="1A7A40EE">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35kV变电站压板在线监测系统安装</w:t>
            </w:r>
          </w:p>
        </w:tc>
        <w:tc>
          <w:tcPr>
            <w:tcW w:w="4264" w:type="dxa"/>
            <w:vAlign w:val="center"/>
          </w:tcPr>
          <w:p w14:paraId="086A5157">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根据甲方及相关标准要求，完成35kV变电站管理单元、采集单元、汇集单元安装、线缆敷设（含连接）以及相关辅材安装，满足设计方案要求，通过甲方及业主方验收。</w:t>
            </w:r>
          </w:p>
        </w:tc>
        <w:tc>
          <w:tcPr>
            <w:tcW w:w="730" w:type="dxa"/>
            <w:vAlign w:val="center"/>
          </w:tcPr>
          <w:p w14:paraId="46955CD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740" w:type="dxa"/>
            <w:vAlign w:val="center"/>
          </w:tcPr>
          <w:p w14:paraId="062023E7">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4BB47F6F">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3EFEF9A3">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28D813A8">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7E6D47C6">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7E5B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6AB36BFB">
            <w:pPr>
              <w:widowControl/>
              <w:jc w:val="center"/>
              <w:rPr>
                <w:rFonts w:hint="eastAsia" w:ascii="宋体" w:hAnsi="宋体" w:eastAsia="宋体" w:cs="宋体"/>
                <w:color w:val="auto"/>
                <w:kern w:val="0"/>
                <w:sz w:val="24"/>
                <w:szCs w:val="24"/>
                <w:highlight w:val="none"/>
              </w:rPr>
            </w:pPr>
          </w:p>
        </w:tc>
        <w:tc>
          <w:tcPr>
            <w:tcW w:w="1383" w:type="dxa"/>
            <w:vAlign w:val="center"/>
          </w:tcPr>
          <w:p w14:paraId="1DA69284">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220kV变电站压板在线监测系统调试</w:t>
            </w:r>
          </w:p>
        </w:tc>
        <w:tc>
          <w:tcPr>
            <w:tcW w:w="4264" w:type="dxa"/>
            <w:vAlign w:val="center"/>
          </w:tcPr>
          <w:p w14:paraId="580CD644">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根据甲方及相关标准要求，完成220kV变电站管理单元、采集单元、汇集单元调试，确保压板在线监测系统正常运行，满足设计方案要求，通过甲方及业主方验收。</w:t>
            </w:r>
          </w:p>
        </w:tc>
        <w:tc>
          <w:tcPr>
            <w:tcW w:w="730" w:type="dxa"/>
            <w:vAlign w:val="center"/>
          </w:tcPr>
          <w:p w14:paraId="79FAC651">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740" w:type="dxa"/>
            <w:vAlign w:val="center"/>
          </w:tcPr>
          <w:p w14:paraId="4EC7503E">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633CB5DC">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31C9DAA6">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21A40BA5">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37D34E0E">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0FCE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3084D69D">
            <w:pPr>
              <w:widowControl/>
              <w:jc w:val="center"/>
              <w:rPr>
                <w:rFonts w:hint="eastAsia" w:ascii="宋体" w:hAnsi="宋体" w:eastAsia="宋体" w:cs="宋体"/>
                <w:color w:val="auto"/>
                <w:kern w:val="0"/>
                <w:sz w:val="24"/>
                <w:szCs w:val="24"/>
                <w:highlight w:val="none"/>
              </w:rPr>
            </w:pPr>
          </w:p>
        </w:tc>
        <w:tc>
          <w:tcPr>
            <w:tcW w:w="1383" w:type="dxa"/>
            <w:vAlign w:val="center"/>
          </w:tcPr>
          <w:p w14:paraId="2F86B568">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110kV变电站压板在线监测系统调试</w:t>
            </w:r>
          </w:p>
        </w:tc>
        <w:tc>
          <w:tcPr>
            <w:tcW w:w="4264" w:type="dxa"/>
            <w:vAlign w:val="center"/>
          </w:tcPr>
          <w:p w14:paraId="7AF68578">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根据甲方及相关标准要求，完成110kV变电站管理单元、采集单元、汇集单元调试，确保压板在线监测系统正常运行，满足设计方案要求，通过甲方及业主方验收。</w:t>
            </w:r>
          </w:p>
        </w:tc>
        <w:tc>
          <w:tcPr>
            <w:tcW w:w="730" w:type="dxa"/>
            <w:vAlign w:val="center"/>
          </w:tcPr>
          <w:p w14:paraId="39CAFE2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740" w:type="dxa"/>
            <w:vAlign w:val="center"/>
          </w:tcPr>
          <w:p w14:paraId="7E4F8D2E">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58BFFCEB">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0D06BCF1">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6E7D7729">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4B6EBF54">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5B5D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0945E49E">
            <w:pPr>
              <w:widowControl/>
              <w:jc w:val="center"/>
              <w:rPr>
                <w:rFonts w:hint="eastAsia" w:ascii="宋体" w:hAnsi="宋体" w:eastAsia="宋体" w:cs="宋体"/>
                <w:color w:val="auto"/>
                <w:kern w:val="0"/>
                <w:sz w:val="24"/>
                <w:szCs w:val="24"/>
                <w:highlight w:val="none"/>
              </w:rPr>
            </w:pPr>
          </w:p>
        </w:tc>
        <w:tc>
          <w:tcPr>
            <w:tcW w:w="1383" w:type="dxa"/>
            <w:vAlign w:val="center"/>
          </w:tcPr>
          <w:p w14:paraId="107FE70B">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35kV变电站压板在线监测系统调试</w:t>
            </w:r>
          </w:p>
        </w:tc>
        <w:tc>
          <w:tcPr>
            <w:tcW w:w="4264" w:type="dxa"/>
            <w:vAlign w:val="center"/>
          </w:tcPr>
          <w:p w14:paraId="200BD887">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根据甲方及相关标准要求，完成35kV变电站管理单元、采集单元、汇集单元调试，确保压板在线监测系统正常运行，满足设计方案要求，通过甲方及业主方验收。</w:t>
            </w:r>
          </w:p>
        </w:tc>
        <w:tc>
          <w:tcPr>
            <w:tcW w:w="730" w:type="dxa"/>
            <w:vAlign w:val="center"/>
          </w:tcPr>
          <w:p w14:paraId="3E9DC3A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740" w:type="dxa"/>
            <w:vAlign w:val="center"/>
          </w:tcPr>
          <w:p w14:paraId="2BB0E722">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7C9E35EA">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5B640DCB">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124B4495">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654A1A6A">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22A0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55D0066A">
            <w:pPr>
              <w:widowControl/>
              <w:jc w:val="center"/>
              <w:rPr>
                <w:rFonts w:hint="eastAsia" w:ascii="宋体" w:hAnsi="宋体" w:eastAsia="宋体" w:cs="宋体"/>
                <w:color w:val="auto"/>
                <w:kern w:val="0"/>
                <w:sz w:val="24"/>
                <w:szCs w:val="24"/>
                <w:highlight w:val="none"/>
              </w:rPr>
            </w:pPr>
          </w:p>
        </w:tc>
        <w:tc>
          <w:tcPr>
            <w:tcW w:w="1383" w:type="dxa"/>
            <w:vAlign w:val="center"/>
          </w:tcPr>
          <w:p w14:paraId="1BAFF48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综合用工</w:t>
            </w:r>
          </w:p>
        </w:tc>
        <w:tc>
          <w:tcPr>
            <w:tcW w:w="4264" w:type="dxa"/>
            <w:vAlign w:val="center"/>
          </w:tcPr>
          <w:p w14:paraId="3E31D5C4">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为完成项目交付，但本合同未约定相关定价的工作内容。因业主方、甲方原因产生的临时性工作，事先经甲方认可后，按综合</w:t>
            </w:r>
            <w:r>
              <w:rPr>
                <w:rFonts w:hint="eastAsia" w:ascii="宋体" w:hAnsi="宋体" w:eastAsia="宋体" w:cs="宋体"/>
                <w:color w:val="auto"/>
                <w:kern w:val="0"/>
                <w:sz w:val="24"/>
                <w:szCs w:val="24"/>
                <w:highlight w:val="none"/>
                <w:lang w:val="en-US" w:eastAsia="zh-CN"/>
              </w:rPr>
              <w:t>用工</w:t>
            </w:r>
            <w:r>
              <w:rPr>
                <w:rFonts w:hint="eastAsia" w:ascii="宋体" w:hAnsi="宋体" w:eastAsia="宋体" w:cs="宋体"/>
                <w:color w:val="auto"/>
                <w:kern w:val="0"/>
                <w:sz w:val="24"/>
                <w:szCs w:val="24"/>
                <w:highlight w:val="none"/>
              </w:rPr>
              <w:t>结算。</w:t>
            </w:r>
          </w:p>
        </w:tc>
        <w:tc>
          <w:tcPr>
            <w:tcW w:w="730" w:type="dxa"/>
            <w:vAlign w:val="center"/>
          </w:tcPr>
          <w:p w14:paraId="1A5706A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100</w:t>
            </w:r>
          </w:p>
        </w:tc>
        <w:tc>
          <w:tcPr>
            <w:tcW w:w="740" w:type="dxa"/>
            <w:vAlign w:val="center"/>
          </w:tcPr>
          <w:p w14:paraId="670DB971">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工日</w:t>
            </w:r>
          </w:p>
        </w:tc>
        <w:tc>
          <w:tcPr>
            <w:tcW w:w="710" w:type="dxa"/>
            <w:vAlign w:val="center"/>
          </w:tcPr>
          <w:p w14:paraId="252641A0">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2D956B09">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1CFBBD5C">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293E4302">
            <w:pPr>
              <w:widowControl/>
              <w:adjustRightInd w:val="0"/>
              <w:snapToGrid w:val="0"/>
              <w:jc w:val="center"/>
              <w:rPr>
                <w:rFonts w:hint="eastAsia" w:ascii="宋体" w:hAnsi="宋体" w:eastAsia="宋体" w:cs="宋体"/>
                <w:color w:val="auto"/>
                <w:kern w:val="0"/>
                <w:sz w:val="24"/>
                <w:szCs w:val="24"/>
                <w:highlight w:val="none"/>
                <w:lang w:val="en-US" w:eastAsia="zh-CN"/>
              </w:rPr>
            </w:pPr>
          </w:p>
        </w:tc>
      </w:tr>
    </w:tbl>
    <w:p w14:paraId="4F70D52A">
      <w:pP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具体服务不局限于上述需求一览表。应包括上述服务相关延伸服务及产品，类似升级服务及相关产品。</w:t>
      </w:r>
    </w:p>
    <w:p w14:paraId="4CC0BE4F">
      <w:pPr>
        <w:pStyle w:val="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9ECAE4E">
      <w:pPr>
        <w:pStyle w:val="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332A80AD">
      <w:pPr>
        <w:rPr>
          <w:color w:val="auto"/>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8777">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BE26F">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6BE26F">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3AB9">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6383E3D"/>
    <w:rsid w:val="2F492DAB"/>
    <w:rsid w:val="3A765A44"/>
    <w:rsid w:val="3BF8125D"/>
    <w:rsid w:val="419C597F"/>
    <w:rsid w:val="446B5807"/>
    <w:rsid w:val="50072212"/>
    <w:rsid w:val="58E9369C"/>
    <w:rsid w:val="5A2D0062"/>
    <w:rsid w:val="66667B2B"/>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4899</Words>
  <Characters>5447</Characters>
  <Lines>0</Lines>
  <Paragraphs>0</Paragraphs>
  <TotalTime>3</TotalTime>
  <ScaleCrop>false</ScaleCrop>
  <LinksUpToDate>false</LinksUpToDate>
  <CharactersWithSpaces>5462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韩梅17660167329</cp:lastModifiedBy>
  <dcterms:modified xsi:type="dcterms:W3CDTF">2025-04-02T09:16:24Z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32387C2A570A4DC0825AB9DA4B4FA733_13</vt:lpwstr>
  </property>
  <property fmtid="{D5CDD505-2E9C-101B-9397-08002B2CF9AE}" pid="4" name="KSOTemplateDocerSaveRecord">
    <vt:lpwstr>eyJoZGlkIjoiNzcwY2M5NGVmY2Y5YTVkMTJmMzEwY2NlODY1MmIwYTMiLCJ1c2VySWQiOiI5NjA4MzkzNTgifQ==</vt:lpwstr>
  </property>
</Properties>
</file>